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83151E" w:rsidRDefault="004E67EB" w:rsidP="00BC4476">
      <w:pPr>
        <w:spacing w:line="460" w:lineRule="exact"/>
        <w:ind w:left="1693" w:hanging="1693"/>
        <w:jc w:val="center"/>
        <w:rPr>
          <w:rFonts w:ascii="標楷體" w:eastAsia="標楷體" w:hAnsi="標楷體" w:cs="Times New Roman"/>
          <w:b/>
          <w:color w:val="000000" w:themeColor="text1"/>
          <w:kern w:val="0"/>
          <w:sz w:val="28"/>
          <w:szCs w:val="28"/>
        </w:rPr>
      </w:pPr>
      <w:r w:rsidRPr="0083151E">
        <w:rPr>
          <w:rFonts w:ascii="標楷體" w:eastAsia="標楷體" w:hAnsi="標楷體"/>
          <w:b/>
          <w:color w:val="000000" w:themeColor="text1"/>
          <w:sz w:val="28"/>
          <w:szCs w:val="28"/>
        </w:rPr>
        <w:t>風險指標資料</w:t>
      </w:r>
      <w:r w:rsidRPr="0083151E">
        <w:rPr>
          <w:rFonts w:ascii="標楷體" w:eastAsia="標楷體" w:hAnsi="標楷體" w:cs="Times New Roman" w:hint="eastAsia"/>
          <w:b/>
          <w:color w:val="000000" w:themeColor="text1"/>
          <w:kern w:val="0"/>
          <w:sz w:val="28"/>
          <w:szCs w:val="28"/>
        </w:rPr>
        <w:t>查核缺失態樣</w:t>
      </w:r>
      <w:r w:rsidR="00BC4476" w:rsidRPr="0083151E">
        <w:rPr>
          <w:rFonts w:ascii="標楷體" w:eastAsia="標楷體" w:hAnsi="標楷體" w:cs="Times New Roman" w:hint="eastAsia"/>
          <w:b/>
          <w:color w:val="000000" w:themeColor="text1"/>
          <w:kern w:val="0"/>
          <w:sz w:val="28"/>
          <w:szCs w:val="28"/>
        </w:rPr>
        <w:t>（10</w:t>
      </w:r>
      <w:r w:rsidR="00BE4E19" w:rsidRPr="0083151E">
        <w:rPr>
          <w:rFonts w:ascii="標楷體" w:eastAsia="標楷體" w:hAnsi="標楷體" w:cs="Times New Roman" w:hint="eastAsia"/>
          <w:b/>
          <w:color w:val="000000" w:themeColor="text1"/>
          <w:kern w:val="0"/>
          <w:sz w:val="28"/>
          <w:szCs w:val="28"/>
        </w:rPr>
        <w:t>5</w:t>
      </w:r>
      <w:r w:rsidR="00BC4476" w:rsidRPr="0083151E">
        <w:rPr>
          <w:rFonts w:ascii="標楷體" w:eastAsia="標楷體" w:hAnsi="標楷體" w:cs="Times New Roman" w:hint="eastAsia"/>
          <w:b/>
          <w:color w:val="000000" w:themeColor="text1"/>
          <w:kern w:val="0"/>
          <w:sz w:val="28"/>
          <w:szCs w:val="28"/>
        </w:rPr>
        <w:t>年</w:t>
      </w:r>
      <w:r w:rsidR="00BE4E19" w:rsidRPr="0083151E">
        <w:rPr>
          <w:rFonts w:ascii="標楷體" w:eastAsia="標楷體" w:hAnsi="標楷體" w:cs="Times New Roman" w:hint="eastAsia"/>
          <w:b/>
          <w:color w:val="000000" w:themeColor="text1"/>
          <w:kern w:val="0"/>
          <w:sz w:val="28"/>
          <w:szCs w:val="28"/>
        </w:rPr>
        <w:t>上</w:t>
      </w:r>
      <w:r w:rsidR="002D2343" w:rsidRPr="0083151E">
        <w:rPr>
          <w:rFonts w:ascii="標楷體" w:eastAsia="標楷體" w:hAnsi="標楷體" w:cs="Times New Roman" w:hint="eastAsia"/>
          <w:b/>
          <w:color w:val="000000" w:themeColor="text1"/>
          <w:kern w:val="0"/>
          <w:sz w:val="28"/>
          <w:szCs w:val="28"/>
        </w:rPr>
        <w:t>半年</w:t>
      </w:r>
      <w:r w:rsidR="00BC4476" w:rsidRPr="0083151E">
        <w:rPr>
          <w:rFonts w:ascii="標楷體" w:eastAsia="標楷體" w:hAnsi="標楷體" w:cs="Times New Roman" w:hint="eastAsia"/>
          <w:b/>
          <w:color w:val="000000" w:themeColor="text1"/>
          <w:kern w:val="0"/>
          <w:sz w:val="28"/>
          <w:szCs w:val="28"/>
        </w:rPr>
        <w:t>）</w:t>
      </w:r>
    </w:p>
    <w:p w:rsidR="00BC4476" w:rsidRPr="0083151E" w:rsidRDefault="00BC4476" w:rsidP="00BC4476">
      <w:pPr>
        <w:spacing w:line="460" w:lineRule="exact"/>
        <w:ind w:left="1693" w:hanging="1693"/>
        <w:jc w:val="center"/>
        <w:rPr>
          <w:rFonts w:ascii="標楷體" w:eastAsia="標楷體" w:hAnsi="標楷體"/>
          <w:b/>
          <w:color w:val="000000" w:themeColor="text1"/>
          <w:sz w:val="28"/>
          <w:szCs w:val="28"/>
        </w:rPr>
      </w:pPr>
      <w:r w:rsidRPr="0083151E">
        <w:rPr>
          <w:rFonts w:ascii="標楷體" w:eastAsia="標楷體" w:hAnsi="標楷體" w:cs="Times New Roman" w:hint="eastAsia"/>
          <w:b/>
          <w:color w:val="000000" w:themeColor="text1"/>
          <w:kern w:val="0"/>
          <w:sz w:val="28"/>
          <w:szCs w:val="28"/>
        </w:rPr>
        <w:t>金融機構類別：農</w:t>
      </w:r>
      <w:r w:rsidRPr="0083151E">
        <w:rPr>
          <w:rFonts w:ascii="標楷體" w:eastAsia="標楷體" w:hAnsi="標楷體" w:hint="eastAsia"/>
          <w:b/>
          <w:color w:val="000000" w:themeColor="text1"/>
          <w:sz w:val="28"/>
          <w:szCs w:val="28"/>
        </w:rPr>
        <w:t>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76D42" w:rsidRPr="0083151E" w:rsidTr="00476D42">
        <w:trPr>
          <w:trHeight w:val="2214"/>
        </w:trPr>
        <w:tc>
          <w:tcPr>
            <w:tcW w:w="8372" w:type="dxa"/>
          </w:tcPr>
          <w:p w:rsidR="004C340B" w:rsidRPr="0083151E" w:rsidRDefault="00BC4476" w:rsidP="004C340B">
            <w:pPr>
              <w:spacing w:line="460" w:lineRule="exact"/>
              <w:ind w:left="1693" w:hanging="1693"/>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態樣</w:t>
            </w:r>
            <w:proofErr w:type="gramStart"/>
            <w:r w:rsidRPr="0083151E">
              <w:rPr>
                <w:rFonts w:ascii="標楷體" w:eastAsia="標楷體" w:hAnsi="標楷體" w:hint="eastAsia"/>
                <w:b/>
                <w:color w:val="000000" w:themeColor="text1"/>
                <w:sz w:val="28"/>
                <w:szCs w:val="28"/>
              </w:rPr>
              <w:t>一</w:t>
            </w:r>
            <w:proofErr w:type="gramEnd"/>
            <w:r w:rsidRPr="0083151E">
              <w:rPr>
                <w:rFonts w:ascii="標楷體" w:eastAsia="標楷體" w:hAnsi="標楷體" w:hint="eastAsia"/>
                <w:b/>
                <w:color w:val="000000" w:themeColor="text1"/>
                <w:sz w:val="28"/>
                <w:szCs w:val="28"/>
              </w:rPr>
              <w:t>：</w:t>
            </w:r>
            <w:r w:rsidR="004C340B" w:rsidRPr="0083151E">
              <w:rPr>
                <w:rFonts w:ascii="標楷體" w:eastAsia="標楷體" w:hAnsi="標楷體" w:hint="eastAsia"/>
                <w:b/>
                <w:color w:val="000000" w:themeColor="text1"/>
                <w:sz w:val="28"/>
                <w:szCs w:val="28"/>
              </w:rPr>
              <w:t>應予評估資產申報錯誤及分類錯誤：</w:t>
            </w:r>
          </w:p>
          <w:p w:rsidR="00191882" w:rsidRPr="0083151E" w:rsidRDefault="00191882" w:rsidP="00191882">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1.</w:t>
            </w:r>
            <w:r w:rsidR="001B214A" w:rsidRPr="0083151E">
              <w:rPr>
                <w:rFonts w:ascii="標楷體" w:eastAsia="標楷體" w:hAnsi="標楷體" w:hint="eastAsia"/>
                <w:b/>
                <w:color w:val="000000" w:themeColor="text1"/>
                <w:sz w:val="28"/>
                <w:szCs w:val="28"/>
              </w:rPr>
              <w:t>逾期</w:t>
            </w:r>
            <w:r w:rsidR="002A5B85" w:rsidRPr="0083151E">
              <w:rPr>
                <w:rFonts w:ascii="標楷體" w:eastAsia="標楷體" w:hAnsi="標楷體" w:hint="eastAsia"/>
                <w:b/>
                <w:color w:val="000000" w:themeColor="text1"/>
                <w:sz w:val="28"/>
                <w:szCs w:val="28"/>
              </w:rPr>
              <w:t>催收</w:t>
            </w:r>
            <w:r w:rsidR="001B214A" w:rsidRPr="0083151E">
              <w:rPr>
                <w:rFonts w:ascii="標楷體" w:eastAsia="標楷體" w:hAnsi="標楷體" w:hint="eastAsia"/>
                <w:b/>
                <w:color w:val="000000" w:themeColor="text1"/>
                <w:sz w:val="28"/>
                <w:szCs w:val="28"/>
              </w:rPr>
              <w:t>戶及</w:t>
            </w:r>
            <w:r w:rsidRPr="0083151E">
              <w:rPr>
                <w:rFonts w:ascii="標楷體" w:eastAsia="標楷體" w:hAnsi="標楷體" w:hint="eastAsia"/>
                <w:b/>
                <w:color w:val="000000" w:themeColor="text1"/>
                <w:sz w:val="28"/>
                <w:szCs w:val="28"/>
              </w:rPr>
              <w:t>呆帳戶</w:t>
            </w:r>
            <w:r w:rsidR="001B214A" w:rsidRPr="0083151E">
              <w:rPr>
                <w:rFonts w:ascii="標楷體" w:eastAsia="標楷體" w:hAnsi="標楷體" w:hint="eastAsia"/>
                <w:b/>
                <w:color w:val="000000" w:themeColor="text1"/>
                <w:sz w:val="28"/>
                <w:szCs w:val="28"/>
              </w:rPr>
              <w:t>之</w:t>
            </w:r>
            <w:r w:rsidRPr="0083151E">
              <w:rPr>
                <w:rFonts w:ascii="標楷體" w:eastAsia="標楷體" w:hAnsi="標楷體" w:hint="eastAsia"/>
                <w:b/>
                <w:color w:val="000000" w:themeColor="text1"/>
                <w:sz w:val="28"/>
                <w:szCs w:val="28"/>
              </w:rPr>
              <w:t>訴訟</w:t>
            </w:r>
            <w:r w:rsidR="00BE4E19" w:rsidRPr="0083151E">
              <w:rPr>
                <w:rFonts w:ascii="標楷體" w:eastAsia="標楷體" w:hAnsi="標楷體" w:hint="eastAsia"/>
                <w:b/>
                <w:color w:val="000000" w:themeColor="text1"/>
                <w:sz w:val="28"/>
                <w:szCs w:val="28"/>
              </w:rPr>
              <w:t>或火災保險等</w:t>
            </w:r>
            <w:r w:rsidRPr="0083151E">
              <w:rPr>
                <w:rFonts w:ascii="標楷體" w:eastAsia="標楷體" w:hAnsi="標楷體" w:hint="eastAsia"/>
                <w:b/>
                <w:color w:val="000000" w:themeColor="text1"/>
                <w:sz w:val="28"/>
                <w:szCs w:val="28"/>
              </w:rPr>
              <w:t>相關費用，</w:t>
            </w:r>
            <w:r w:rsidR="002A5B85" w:rsidRPr="0083151E">
              <w:rPr>
                <w:rFonts w:ascii="標楷體" w:eastAsia="標楷體" w:hAnsi="標楷體" w:hint="eastAsia"/>
                <w:b/>
                <w:color w:val="000000" w:themeColor="text1"/>
                <w:sz w:val="28"/>
                <w:szCs w:val="28"/>
              </w:rPr>
              <w:t>漏未列入評估或分類錯誤。</w:t>
            </w:r>
          </w:p>
          <w:p w:rsidR="00191882" w:rsidRPr="0083151E" w:rsidRDefault="002758F0" w:rsidP="00191882">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2</w:t>
            </w:r>
            <w:r w:rsidR="00191882" w:rsidRPr="0083151E">
              <w:rPr>
                <w:rFonts w:ascii="標楷體" w:eastAsia="標楷體" w:hAnsi="標楷體" w:hint="eastAsia"/>
                <w:b/>
                <w:color w:val="000000" w:themeColor="text1"/>
                <w:sz w:val="28"/>
                <w:szCs w:val="28"/>
              </w:rPr>
              <w:t>.投資之有價證券，被投資公司淨值已貶落，未列入應予評估資產評估。</w:t>
            </w:r>
          </w:p>
          <w:p w:rsidR="00387865" w:rsidRPr="0083151E" w:rsidRDefault="002758F0" w:rsidP="00387865">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3</w:t>
            </w:r>
            <w:r w:rsidR="00191882" w:rsidRPr="0083151E">
              <w:rPr>
                <w:rFonts w:ascii="標楷體" w:eastAsia="標楷體" w:hAnsi="標楷體" w:hint="eastAsia"/>
                <w:b/>
                <w:color w:val="000000" w:themeColor="text1"/>
                <w:sz w:val="28"/>
                <w:szCs w:val="28"/>
              </w:rPr>
              <w:t>.</w:t>
            </w:r>
            <w:r w:rsidR="00387865" w:rsidRPr="0083151E">
              <w:rPr>
                <w:rFonts w:ascii="標楷體" w:eastAsia="標楷體" w:hAnsi="標楷體" w:hint="eastAsia"/>
                <w:b/>
                <w:color w:val="000000" w:themeColor="text1"/>
                <w:sz w:val="28"/>
                <w:szCs w:val="28"/>
              </w:rPr>
              <w:t>對還本</w:t>
            </w:r>
            <w:proofErr w:type="gramStart"/>
            <w:r w:rsidR="00387865" w:rsidRPr="0083151E">
              <w:rPr>
                <w:rFonts w:ascii="標楷體" w:eastAsia="標楷體" w:hAnsi="標楷體" w:hint="eastAsia"/>
                <w:b/>
                <w:color w:val="000000" w:themeColor="text1"/>
                <w:sz w:val="28"/>
                <w:szCs w:val="28"/>
              </w:rPr>
              <w:t>繳息有欠</w:t>
            </w:r>
            <w:proofErr w:type="gramEnd"/>
            <w:r w:rsidR="00387865" w:rsidRPr="0083151E">
              <w:rPr>
                <w:rFonts w:ascii="標楷體" w:eastAsia="標楷體" w:hAnsi="標楷體" w:hint="eastAsia"/>
                <w:b/>
                <w:color w:val="000000" w:themeColor="text1"/>
                <w:sz w:val="28"/>
                <w:szCs w:val="28"/>
              </w:rPr>
              <w:t>正常放款之應收利息，有漏未列入評估或分類錯誤。</w:t>
            </w:r>
          </w:p>
          <w:p w:rsidR="00BE4E19" w:rsidRPr="0083151E" w:rsidRDefault="00BE4E19" w:rsidP="00BE4E19">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4.對帳列有價證券(次順</w:t>
            </w:r>
            <w:proofErr w:type="gramStart"/>
            <w:r w:rsidRPr="0083151E">
              <w:rPr>
                <w:rFonts w:ascii="標楷體" w:eastAsia="標楷體" w:hAnsi="標楷體" w:hint="eastAsia"/>
                <w:b/>
                <w:color w:val="000000" w:themeColor="text1"/>
                <w:sz w:val="28"/>
                <w:szCs w:val="28"/>
              </w:rPr>
              <w:t>券</w:t>
            </w:r>
            <w:proofErr w:type="gramEnd"/>
            <w:r w:rsidRPr="0083151E">
              <w:rPr>
                <w:rFonts w:ascii="標楷體" w:eastAsia="標楷體" w:hAnsi="標楷體" w:hint="eastAsia"/>
                <w:b/>
                <w:color w:val="000000" w:themeColor="text1"/>
                <w:sz w:val="28"/>
                <w:szCs w:val="28"/>
              </w:rPr>
              <w:t>及合庫股票)</w:t>
            </w:r>
            <w:proofErr w:type="gramStart"/>
            <w:r w:rsidRPr="0083151E">
              <w:rPr>
                <w:rFonts w:ascii="標楷體" w:eastAsia="標楷體" w:hAnsi="標楷體" w:hint="eastAsia"/>
                <w:b/>
                <w:color w:val="000000" w:themeColor="text1"/>
                <w:sz w:val="28"/>
                <w:szCs w:val="28"/>
              </w:rPr>
              <w:t>未依櫃買</w:t>
            </w:r>
            <w:proofErr w:type="gramEnd"/>
            <w:r w:rsidRPr="0083151E">
              <w:rPr>
                <w:rFonts w:ascii="標楷體" w:eastAsia="標楷體" w:hAnsi="標楷體" w:hint="eastAsia"/>
                <w:b/>
                <w:color w:val="000000" w:themeColor="text1"/>
                <w:sz w:val="28"/>
                <w:szCs w:val="28"/>
              </w:rPr>
              <w:t>中心買賣價及證券交易所收盤價辦理評估，致應予評估資產及</w:t>
            </w:r>
            <w:proofErr w:type="gramStart"/>
            <w:r w:rsidRPr="0083151E">
              <w:rPr>
                <w:rFonts w:ascii="標楷體" w:eastAsia="標楷體" w:hAnsi="標楷體" w:hint="eastAsia"/>
                <w:b/>
                <w:color w:val="000000" w:themeColor="text1"/>
                <w:sz w:val="28"/>
                <w:szCs w:val="28"/>
              </w:rPr>
              <w:t>及</w:t>
            </w:r>
            <w:proofErr w:type="gramEnd"/>
            <w:r w:rsidRPr="0083151E">
              <w:rPr>
                <w:rFonts w:ascii="標楷體" w:eastAsia="標楷體" w:hAnsi="標楷體" w:hint="eastAsia"/>
                <w:b/>
                <w:color w:val="000000" w:themeColor="text1"/>
                <w:sz w:val="28"/>
                <w:szCs w:val="28"/>
              </w:rPr>
              <w:t>資產可能損失短列。</w:t>
            </w:r>
          </w:p>
          <w:p w:rsidR="00BE4E19" w:rsidRPr="0083151E" w:rsidRDefault="00BE4E19" w:rsidP="00BE4E19">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5.對移送農業信用保證基金保證放款案件，未獲基金保證金額，經清查借戶已無其他可供執行之財產，分類錯誤。</w:t>
            </w:r>
          </w:p>
          <w:p w:rsidR="00B341B9" w:rsidRPr="0083151E" w:rsidRDefault="00BE4E19" w:rsidP="0014405D">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6.帳列催收款項因逾期多年，且所徵擔保品不易處分，及借、保人資力欠佳或死亡，評估分類錯誤。</w:t>
            </w:r>
          </w:p>
          <w:p w:rsidR="00BE4E19" w:rsidRPr="0083151E" w:rsidRDefault="00BE4E19" w:rsidP="0014405D">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7.對墊付支存戶退票手續費用，漏未列入評估或分類錯誤。</w:t>
            </w:r>
          </w:p>
          <w:p w:rsidR="00BE4E19" w:rsidRPr="0083151E" w:rsidRDefault="00BE4E19" w:rsidP="0014405D">
            <w:pPr>
              <w:spacing w:line="460" w:lineRule="exact"/>
              <w:ind w:left="1410" w:hanging="276"/>
              <w:jc w:val="both"/>
              <w:rPr>
                <w:rFonts w:ascii="標楷體" w:eastAsia="標楷體" w:hAnsi="標楷體"/>
                <w:b/>
                <w:color w:val="000000" w:themeColor="text1"/>
                <w:sz w:val="28"/>
                <w:szCs w:val="28"/>
              </w:rPr>
            </w:pPr>
          </w:p>
        </w:tc>
      </w:tr>
    </w:tbl>
    <w:p w:rsidR="004E67EB" w:rsidRPr="0083151E" w:rsidRDefault="004E67EB" w:rsidP="00ED6091">
      <w:pPr>
        <w:spacing w:line="460" w:lineRule="exact"/>
        <w:ind w:leftChars="200" w:left="1756" w:hanging="1276"/>
        <w:rPr>
          <w:rFonts w:ascii="標楷體" w:eastAsia="標楷體" w:hAnsi="標楷體" w:cs="Times New Roman"/>
          <w:b/>
          <w:color w:val="000000" w:themeColor="text1"/>
          <w:spacing w:val="-14"/>
          <w:sz w:val="28"/>
          <w:szCs w:val="28"/>
        </w:rPr>
      </w:pPr>
      <w:r w:rsidRPr="0083151E">
        <w:rPr>
          <w:rFonts w:ascii="標楷體" w:eastAsia="標楷體" w:hAnsi="標楷體" w:cs="Times New Roman" w:hint="eastAsia"/>
          <w:b/>
          <w:color w:val="000000" w:themeColor="text1"/>
          <w:spacing w:val="-14"/>
          <w:sz w:val="28"/>
          <w:szCs w:val="28"/>
        </w:rPr>
        <w:t>改善作法：</w:t>
      </w:r>
    </w:p>
    <w:p w:rsidR="004C340B" w:rsidRPr="0083151E" w:rsidRDefault="004C340B" w:rsidP="00ED6091">
      <w:pPr>
        <w:spacing w:line="460" w:lineRule="exact"/>
        <w:ind w:leftChars="200" w:left="175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1.參考法規：</w:t>
      </w:r>
    </w:p>
    <w:p w:rsidR="004C340B" w:rsidRPr="0083151E" w:rsidRDefault="004C340B" w:rsidP="00933F8B">
      <w:pPr>
        <w:spacing w:line="460" w:lineRule="exact"/>
        <w:ind w:leftChars="199" w:left="1034" w:hanging="55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color w:val="000000" w:themeColor="text1"/>
          <w:spacing w:val="-14"/>
          <w:sz w:val="28"/>
          <w:szCs w:val="28"/>
        </w:rPr>
        <w:t>（</w:t>
      </w:r>
      <w:r w:rsidRPr="0083151E">
        <w:rPr>
          <w:rFonts w:ascii="標楷體" w:eastAsia="標楷體" w:hAnsi="標楷體" w:cs="Times New Roman" w:hint="eastAsia"/>
          <w:color w:val="000000" w:themeColor="text1"/>
          <w:spacing w:val="-14"/>
          <w:sz w:val="28"/>
          <w:szCs w:val="28"/>
        </w:rPr>
        <w:t>1</w:t>
      </w:r>
      <w:r w:rsidRPr="0083151E">
        <w:rPr>
          <w:rFonts w:ascii="標楷體" w:eastAsia="標楷體" w:hAnsi="標楷體" w:cs="Times New Roman"/>
          <w:color w:val="000000" w:themeColor="text1"/>
          <w:spacing w:val="-14"/>
          <w:sz w:val="28"/>
          <w:szCs w:val="28"/>
        </w:rPr>
        <w:t>）農會漁會信用部資產評估損失準備提列及逾期放款催收款呆帳處理辦法。</w:t>
      </w:r>
    </w:p>
    <w:p w:rsidR="004C340B" w:rsidRPr="0083151E" w:rsidRDefault="004C340B" w:rsidP="00ED6091">
      <w:pPr>
        <w:spacing w:line="460" w:lineRule="exact"/>
        <w:ind w:leftChars="200" w:left="1189" w:hanging="709"/>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（2）農會財務處理辦法第92條：「資產之評價依下列規定核計：二、有價證券、長期投資、存貨、承受擔保品及其他資產以成本為基準，成本高於時價時以時價為基準」。</w:t>
      </w:r>
    </w:p>
    <w:p w:rsidR="004C340B" w:rsidRPr="0083151E" w:rsidRDefault="004C340B" w:rsidP="00ED6091">
      <w:pPr>
        <w:spacing w:line="460" w:lineRule="exact"/>
        <w:ind w:leftChars="200" w:left="175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2.依規定填報並落實複核機制。</w:t>
      </w:r>
    </w:p>
    <w:p w:rsidR="004C340B" w:rsidRPr="0083151E" w:rsidRDefault="004C340B" w:rsidP="00ED6091">
      <w:pPr>
        <w:spacing w:line="460" w:lineRule="exact"/>
        <w:ind w:leftChars="200" w:left="175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3.內部稽核將申報資料正確性列為查核重點。</w:t>
      </w:r>
    </w:p>
    <w:p w:rsidR="00BE4E19" w:rsidRPr="0083151E" w:rsidRDefault="00BE4E19" w:rsidP="00ED6091">
      <w:pPr>
        <w:spacing w:line="460" w:lineRule="exact"/>
        <w:ind w:leftChars="200" w:left="1756" w:hanging="1276"/>
        <w:jc w:val="both"/>
        <w:rPr>
          <w:rFonts w:ascii="標楷體" w:eastAsia="標楷體" w:hAnsi="標楷體" w:cs="Times New Roman"/>
          <w:color w:val="000000" w:themeColor="text1"/>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83151E" w:rsidTr="001B214A">
        <w:trPr>
          <w:trHeight w:val="2214"/>
        </w:trPr>
        <w:tc>
          <w:tcPr>
            <w:tcW w:w="8372" w:type="dxa"/>
          </w:tcPr>
          <w:p w:rsidR="004C340B" w:rsidRPr="0083151E" w:rsidRDefault="00BC4476" w:rsidP="004C340B">
            <w:pPr>
              <w:spacing w:line="460" w:lineRule="exact"/>
              <w:ind w:left="1693" w:hanging="1693"/>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lastRenderedPageBreak/>
              <w:t>態樣二：</w:t>
            </w:r>
            <w:r w:rsidR="004C340B" w:rsidRPr="0083151E">
              <w:rPr>
                <w:rFonts w:ascii="標楷體" w:eastAsia="標楷體" w:hAnsi="標楷體" w:hint="eastAsia"/>
                <w:b/>
                <w:color w:val="000000" w:themeColor="text1"/>
                <w:sz w:val="28"/>
                <w:szCs w:val="28"/>
              </w:rPr>
              <w:t>資本適足率</w:t>
            </w:r>
            <w:r w:rsidR="00FC0492" w:rsidRPr="0083151E">
              <w:rPr>
                <w:rFonts w:ascii="標楷體" w:eastAsia="標楷體" w:hAnsi="標楷體" w:hint="eastAsia"/>
                <w:b/>
                <w:color w:val="000000" w:themeColor="text1"/>
                <w:sz w:val="28"/>
                <w:szCs w:val="28"/>
              </w:rPr>
              <w:t>申報有</w:t>
            </w:r>
            <w:r w:rsidR="004C340B" w:rsidRPr="0083151E">
              <w:rPr>
                <w:rFonts w:ascii="標楷體" w:eastAsia="標楷體" w:hAnsi="標楷體" w:hint="eastAsia"/>
                <w:b/>
                <w:color w:val="000000" w:themeColor="text1"/>
                <w:sz w:val="28"/>
                <w:szCs w:val="28"/>
              </w:rPr>
              <w:t>誤</w:t>
            </w:r>
            <w:r w:rsidR="00FC0492" w:rsidRPr="0083151E">
              <w:rPr>
                <w:rFonts w:ascii="標楷體" w:eastAsia="標楷體" w:hAnsi="標楷體" w:hint="eastAsia"/>
                <w:b/>
                <w:color w:val="000000" w:themeColor="text1"/>
                <w:sz w:val="28"/>
                <w:szCs w:val="28"/>
              </w:rPr>
              <w:t>差</w:t>
            </w:r>
            <w:r w:rsidR="004C340B" w:rsidRPr="0083151E">
              <w:rPr>
                <w:rFonts w:ascii="標楷體" w:eastAsia="標楷體" w:hAnsi="標楷體" w:hint="eastAsia"/>
                <w:b/>
                <w:color w:val="000000" w:themeColor="text1"/>
                <w:sz w:val="28"/>
                <w:szCs w:val="28"/>
              </w:rPr>
              <w:t>：</w:t>
            </w:r>
          </w:p>
          <w:p w:rsidR="00191882" w:rsidRPr="0083151E" w:rsidRDefault="002758F0" w:rsidP="00191882">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1</w:t>
            </w:r>
            <w:r w:rsidR="00191882" w:rsidRPr="0083151E">
              <w:rPr>
                <w:rFonts w:ascii="標楷體" w:eastAsia="標楷體" w:hAnsi="標楷體" w:hint="eastAsia"/>
                <w:b/>
                <w:color w:val="000000" w:themeColor="text1"/>
                <w:sz w:val="28"/>
                <w:szCs w:val="28"/>
              </w:rPr>
              <w:t>.對擔保品屬性不符規定（</w:t>
            </w:r>
            <w:r w:rsidR="00726C64" w:rsidRPr="0083151E">
              <w:rPr>
                <w:rFonts w:ascii="標楷體" w:eastAsia="標楷體" w:hAnsi="標楷體" w:hint="eastAsia"/>
                <w:b/>
                <w:color w:val="000000" w:themeColor="text1"/>
                <w:sz w:val="28"/>
                <w:szCs w:val="28"/>
              </w:rPr>
              <w:t>營業處所或建設公司餘屋</w:t>
            </w:r>
            <w:r w:rsidR="00191882" w:rsidRPr="0083151E">
              <w:rPr>
                <w:rFonts w:ascii="標楷體" w:eastAsia="標楷體" w:hAnsi="標楷體" w:hint="eastAsia"/>
                <w:b/>
                <w:color w:val="000000" w:themeColor="text1"/>
                <w:sz w:val="28"/>
                <w:szCs w:val="28"/>
              </w:rPr>
              <w:t>）</w:t>
            </w:r>
            <w:r w:rsidR="00E165AF" w:rsidRPr="0083151E">
              <w:rPr>
                <w:rFonts w:ascii="標楷體" w:eastAsia="標楷體" w:hAnsi="標楷體" w:hint="eastAsia"/>
                <w:b/>
                <w:color w:val="000000" w:themeColor="text1"/>
                <w:sz w:val="28"/>
                <w:szCs w:val="28"/>
              </w:rPr>
              <w:t>等</w:t>
            </w:r>
            <w:r w:rsidR="00191882" w:rsidRPr="0083151E">
              <w:rPr>
                <w:rFonts w:ascii="標楷體" w:eastAsia="標楷體" w:hAnsi="標楷體" w:hint="eastAsia"/>
                <w:b/>
                <w:color w:val="000000" w:themeColor="text1"/>
                <w:sz w:val="28"/>
                <w:szCs w:val="28"/>
              </w:rPr>
              <w:t>非屬住宅用不動產擔保放款（含應收利息，風險權數100%），誤列為住宅用不動產擔保放款（風險權數50%）。</w:t>
            </w:r>
          </w:p>
          <w:p w:rsidR="00191882" w:rsidRPr="0083151E" w:rsidRDefault="002758F0" w:rsidP="00191882">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2</w:t>
            </w:r>
            <w:r w:rsidR="00191882" w:rsidRPr="0083151E">
              <w:rPr>
                <w:rFonts w:ascii="標楷體" w:eastAsia="標楷體" w:hAnsi="標楷體" w:hint="eastAsia"/>
                <w:b/>
                <w:color w:val="000000" w:themeColor="text1"/>
                <w:sz w:val="28"/>
                <w:szCs w:val="28"/>
              </w:rPr>
              <w:t>.可能遭受損失未列入特定損失，並自合格淨值及風險性資產總額扣除。</w:t>
            </w:r>
          </w:p>
          <w:p w:rsidR="00191882" w:rsidRPr="0083151E" w:rsidRDefault="00EE6A92" w:rsidP="008275F7">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3.</w:t>
            </w:r>
            <w:r w:rsidR="00E04711" w:rsidRPr="0083151E">
              <w:rPr>
                <w:rFonts w:ascii="標楷體" w:eastAsia="標楷體" w:hAnsi="標楷體" w:hint="eastAsia"/>
                <w:b/>
                <w:color w:val="000000" w:themeColor="text1"/>
                <w:sz w:val="28"/>
                <w:szCs w:val="28"/>
              </w:rPr>
              <w:t>農業信用保證基金放款，應列為對本國銀行及其保證之債權(風險權數20%)，誤列為一般債權(風險權數100%)。</w:t>
            </w:r>
          </w:p>
          <w:p w:rsidR="00726C64" w:rsidRPr="0083151E" w:rsidRDefault="00EE6A92" w:rsidP="00726C64">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4</w:t>
            </w:r>
            <w:r w:rsidR="00726C64" w:rsidRPr="0083151E">
              <w:rPr>
                <w:rFonts w:ascii="標楷體" w:eastAsia="標楷體" w:hAnsi="標楷體" w:hint="eastAsia"/>
                <w:b/>
                <w:color w:val="000000" w:themeColor="text1"/>
                <w:sz w:val="28"/>
                <w:szCs w:val="28"/>
              </w:rPr>
              <w:t>.對移送農業信用保證基金保證之放款(含應收利息)，全額以風險權數20%計算，未將不受保證之成數改以一般放款之風險權數100%計算。</w:t>
            </w:r>
          </w:p>
          <w:p w:rsidR="00B341B9" w:rsidRPr="0083151E" w:rsidRDefault="00EE6A92" w:rsidP="00B341B9">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5</w:t>
            </w:r>
            <w:r w:rsidR="00B341B9" w:rsidRPr="0083151E">
              <w:rPr>
                <w:rFonts w:ascii="標楷體" w:eastAsia="標楷體" w:hAnsi="標楷體" w:hint="eastAsia"/>
                <w:b/>
                <w:color w:val="000000" w:themeColor="text1"/>
                <w:sz w:val="28"/>
                <w:szCs w:val="28"/>
              </w:rPr>
              <w:t>.誤將針對第一類授信資產餘額提列1%之最低標準備抵呆帳列入特定損失範圍</w:t>
            </w:r>
            <w:r w:rsidR="00B341B9" w:rsidRPr="0083151E">
              <w:rPr>
                <w:rFonts w:ascii="標楷體" w:eastAsia="標楷體" w:hAnsi="標楷體"/>
                <w:b/>
                <w:color w:val="000000" w:themeColor="text1"/>
                <w:sz w:val="28"/>
                <w:szCs w:val="28"/>
              </w:rPr>
              <w:t xml:space="preserve"> 。</w:t>
            </w:r>
          </w:p>
          <w:p w:rsidR="00BE4E19" w:rsidRPr="0083151E" w:rsidRDefault="00A9418D" w:rsidP="00BE4E19">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6.</w:t>
            </w:r>
            <w:r w:rsidR="00BE4E19" w:rsidRPr="0083151E">
              <w:rPr>
                <w:rFonts w:ascii="標楷體" w:eastAsia="標楷體" w:hAnsi="標楷體" w:hint="eastAsia"/>
                <w:b/>
                <w:color w:val="000000" w:themeColor="text1"/>
                <w:sz w:val="28"/>
                <w:szCs w:val="28"/>
              </w:rPr>
              <w:t>對存放行庫之應收利息，誤以風險權數100%計提，應以風險權數20%計提。</w:t>
            </w:r>
          </w:p>
          <w:p w:rsidR="00BE4E19" w:rsidRPr="00182ED2" w:rsidRDefault="00625931" w:rsidP="00BE4E19">
            <w:pPr>
              <w:spacing w:line="460" w:lineRule="exact"/>
              <w:ind w:left="1410" w:hanging="276"/>
              <w:jc w:val="both"/>
              <w:rPr>
                <w:rFonts w:ascii="標楷體" w:eastAsia="標楷體" w:hAnsi="標楷體"/>
                <w:b/>
                <w:sz w:val="28"/>
                <w:szCs w:val="28"/>
              </w:rPr>
            </w:pPr>
            <w:r w:rsidRPr="00182ED2">
              <w:rPr>
                <w:rFonts w:ascii="標楷體" w:eastAsia="標楷體" w:hAnsi="標楷體" w:hint="eastAsia"/>
                <w:b/>
                <w:sz w:val="28"/>
                <w:szCs w:val="28"/>
              </w:rPr>
              <w:t>7</w:t>
            </w:r>
            <w:r w:rsidR="00A9418D" w:rsidRPr="00182ED2">
              <w:rPr>
                <w:rFonts w:ascii="標楷體" w:eastAsia="標楷體" w:hAnsi="標楷體" w:hint="eastAsia"/>
                <w:b/>
                <w:sz w:val="28"/>
                <w:szCs w:val="28"/>
              </w:rPr>
              <w:t>.</w:t>
            </w:r>
            <w:r w:rsidR="00BE4E19" w:rsidRPr="00182ED2">
              <w:rPr>
                <w:rFonts w:ascii="標楷體" w:eastAsia="標楷體" w:hAnsi="標楷體" w:hint="eastAsia"/>
                <w:b/>
                <w:sz w:val="28"/>
                <w:szCs w:val="28"/>
              </w:rPr>
              <w:t>對商業銀行次順位金融債券，誤以風險權數20%計提，應以風險權數100%計提。</w:t>
            </w:r>
          </w:p>
          <w:p w:rsidR="00BE4E19" w:rsidRPr="0083151E" w:rsidRDefault="00625931" w:rsidP="00625931">
            <w:pPr>
              <w:spacing w:line="460" w:lineRule="exact"/>
              <w:ind w:left="1410" w:hanging="284"/>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8</w:t>
            </w:r>
            <w:r w:rsidR="00BE4E19" w:rsidRPr="0083151E">
              <w:rPr>
                <w:rFonts w:ascii="標楷體" w:eastAsia="標楷體" w:hAnsi="標楷體" w:hint="eastAsia"/>
                <w:b/>
                <w:color w:val="000000" w:themeColor="text1"/>
                <w:sz w:val="28"/>
                <w:szCs w:val="28"/>
              </w:rPr>
              <w:t>.建築放款案件誤置於住宅用不動產擔保放款(含應收利息，風險權數50%</w:t>
            </w:r>
            <w:proofErr w:type="gramStart"/>
            <w:r w:rsidR="00BE4E19" w:rsidRPr="0083151E">
              <w:rPr>
                <w:rFonts w:ascii="標楷體" w:eastAsia="標楷體" w:hAnsi="標楷體" w:hint="eastAsia"/>
                <w:b/>
                <w:color w:val="000000" w:themeColor="text1"/>
                <w:sz w:val="28"/>
                <w:szCs w:val="28"/>
              </w:rPr>
              <w:t>）</w:t>
            </w:r>
            <w:proofErr w:type="gramEnd"/>
            <w:r w:rsidR="00BE4E19" w:rsidRPr="0083151E">
              <w:rPr>
                <w:rFonts w:ascii="標楷體" w:eastAsia="標楷體" w:hAnsi="標楷體" w:hint="eastAsia"/>
                <w:b/>
                <w:color w:val="000000" w:themeColor="text1"/>
                <w:sz w:val="28"/>
                <w:szCs w:val="28"/>
              </w:rPr>
              <w:t>，致風險性資產短列。</w:t>
            </w:r>
          </w:p>
          <w:p w:rsidR="00B341B9" w:rsidRPr="0083151E" w:rsidRDefault="00B341B9" w:rsidP="00625931">
            <w:pPr>
              <w:spacing w:line="460" w:lineRule="exact"/>
              <w:ind w:left="1551" w:hanging="425"/>
              <w:jc w:val="both"/>
              <w:rPr>
                <w:rFonts w:ascii="標楷體" w:eastAsia="標楷體" w:hAnsi="標楷體"/>
                <w:b/>
                <w:color w:val="000000" w:themeColor="text1"/>
                <w:sz w:val="28"/>
                <w:szCs w:val="28"/>
              </w:rPr>
            </w:pPr>
          </w:p>
        </w:tc>
      </w:tr>
    </w:tbl>
    <w:p w:rsidR="00431CC5" w:rsidRPr="0083151E" w:rsidRDefault="00431CC5" w:rsidP="00ED6091">
      <w:pPr>
        <w:spacing w:line="460" w:lineRule="exact"/>
        <w:ind w:leftChars="200" w:left="1756" w:hanging="1276"/>
        <w:rPr>
          <w:rFonts w:ascii="標楷體" w:eastAsia="標楷體" w:hAnsi="標楷體" w:cs="Times New Roman"/>
          <w:b/>
          <w:color w:val="000000" w:themeColor="text1"/>
          <w:spacing w:val="-14"/>
          <w:sz w:val="28"/>
          <w:szCs w:val="28"/>
        </w:rPr>
      </w:pPr>
      <w:r w:rsidRPr="0083151E">
        <w:rPr>
          <w:rFonts w:ascii="標楷體" w:eastAsia="標楷體" w:hAnsi="標楷體" w:cs="Times New Roman" w:hint="eastAsia"/>
          <w:b/>
          <w:color w:val="000000" w:themeColor="text1"/>
          <w:spacing w:val="-14"/>
          <w:sz w:val="28"/>
          <w:szCs w:val="28"/>
        </w:rPr>
        <w:t>改善作法：</w:t>
      </w:r>
    </w:p>
    <w:p w:rsidR="004C340B" w:rsidRPr="0083151E" w:rsidRDefault="004C340B" w:rsidP="00ED6091">
      <w:pPr>
        <w:spacing w:line="460" w:lineRule="exact"/>
        <w:ind w:leftChars="200" w:left="175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1.參考法規：</w:t>
      </w:r>
    </w:p>
    <w:p w:rsidR="004C340B" w:rsidRPr="0083151E" w:rsidRDefault="004C340B" w:rsidP="00ED6091">
      <w:pPr>
        <w:spacing w:line="460" w:lineRule="exact"/>
        <w:ind w:left="1701" w:hanging="987"/>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農會漁會信用部淨值占風險性資產比率管理辦法。</w:t>
      </w:r>
    </w:p>
    <w:p w:rsidR="004C340B" w:rsidRPr="0083151E" w:rsidRDefault="004C340B" w:rsidP="00ED6091">
      <w:pPr>
        <w:spacing w:line="460" w:lineRule="exact"/>
        <w:ind w:leftChars="200" w:left="175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2.正確建檔並依規定填報及落實複核機制。</w:t>
      </w:r>
    </w:p>
    <w:p w:rsidR="004C340B" w:rsidRPr="0083151E" w:rsidRDefault="004C340B" w:rsidP="00ED6091">
      <w:pPr>
        <w:spacing w:line="460" w:lineRule="exact"/>
        <w:ind w:leftChars="200" w:left="175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3.內部稽核將申報資料正確性列為查核重點。</w:t>
      </w:r>
    </w:p>
    <w:p w:rsidR="00431CC5" w:rsidRPr="0083151E" w:rsidRDefault="00431CC5" w:rsidP="008D0AF9">
      <w:pPr>
        <w:spacing w:line="460" w:lineRule="exact"/>
        <w:ind w:left="1276" w:hanging="1276"/>
        <w:jc w:val="both"/>
        <w:rPr>
          <w:rFonts w:ascii="標楷體" w:eastAsia="標楷體" w:hAnsi="標楷體" w:cs="Times New Roman"/>
          <w:color w:val="000000" w:themeColor="text1"/>
          <w:spacing w:val="-14"/>
          <w:sz w:val="28"/>
          <w:szCs w:val="28"/>
        </w:rPr>
      </w:pPr>
    </w:p>
    <w:tbl>
      <w:tblPr>
        <w:tblStyle w:val="a8"/>
        <w:tblW w:w="0" w:type="auto"/>
        <w:tblInd w:w="17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44"/>
      </w:tblGrid>
      <w:tr w:rsidR="00787153" w:rsidRPr="0083151E" w:rsidTr="00787153">
        <w:tc>
          <w:tcPr>
            <w:tcW w:w="8344" w:type="dxa"/>
          </w:tcPr>
          <w:p w:rsidR="00787153" w:rsidRPr="0083151E" w:rsidRDefault="00787153" w:rsidP="00787153">
            <w:pPr>
              <w:spacing w:line="460" w:lineRule="exact"/>
              <w:ind w:left="1693" w:hanging="1693"/>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態樣</w:t>
            </w:r>
            <w:proofErr w:type="gramStart"/>
            <w:r w:rsidRPr="0083151E">
              <w:rPr>
                <w:rFonts w:ascii="標楷體" w:eastAsia="標楷體" w:hAnsi="標楷體" w:hint="eastAsia"/>
                <w:b/>
                <w:color w:val="000000" w:themeColor="text1"/>
                <w:sz w:val="28"/>
                <w:szCs w:val="28"/>
              </w:rPr>
              <w:t>三</w:t>
            </w:r>
            <w:proofErr w:type="gramEnd"/>
            <w:r w:rsidRPr="0083151E">
              <w:rPr>
                <w:rFonts w:ascii="標楷體" w:eastAsia="標楷體" w:hAnsi="標楷體" w:hint="eastAsia"/>
                <w:b/>
                <w:color w:val="000000" w:themeColor="text1"/>
                <w:sz w:val="28"/>
                <w:szCs w:val="28"/>
              </w:rPr>
              <w:t>：建築貸款申報錯誤：</w:t>
            </w:r>
          </w:p>
          <w:p w:rsidR="00191882" w:rsidRPr="0083151E" w:rsidRDefault="00191882" w:rsidP="00191882">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1.未將</w:t>
            </w:r>
            <w:r w:rsidR="00ED4A59" w:rsidRPr="0083151E">
              <w:rPr>
                <w:rFonts w:ascii="標楷體" w:eastAsia="標楷體" w:hAnsi="標楷體" w:hint="eastAsia"/>
                <w:b/>
                <w:color w:val="000000" w:themeColor="text1"/>
                <w:sz w:val="28"/>
                <w:szCs w:val="28"/>
              </w:rPr>
              <w:t>建築業</w:t>
            </w:r>
            <w:r w:rsidRPr="0083151E">
              <w:rPr>
                <w:rFonts w:ascii="標楷體" w:eastAsia="標楷體" w:hAnsi="標楷體" w:hint="eastAsia"/>
                <w:b/>
                <w:color w:val="000000" w:themeColor="text1"/>
                <w:sz w:val="28"/>
                <w:szCs w:val="28"/>
              </w:rPr>
              <w:t>所辦理之購地貸款及週轉金貸款列入申報。</w:t>
            </w:r>
          </w:p>
          <w:p w:rsidR="0096332E" w:rsidRPr="0083151E" w:rsidRDefault="00191882" w:rsidP="00B341B9">
            <w:pPr>
              <w:spacing w:line="460" w:lineRule="exact"/>
              <w:ind w:left="1410" w:hanging="276"/>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2.未將個人從事建築投資所辦理之</w:t>
            </w:r>
            <w:r w:rsidR="00ED4A59" w:rsidRPr="0083151E">
              <w:rPr>
                <w:rFonts w:ascii="標楷體" w:eastAsia="標楷體" w:hAnsi="標楷體" w:hint="eastAsia"/>
                <w:b/>
                <w:color w:val="000000" w:themeColor="text1"/>
                <w:sz w:val="28"/>
                <w:szCs w:val="28"/>
              </w:rPr>
              <w:t>購地及</w:t>
            </w:r>
            <w:r w:rsidRPr="0083151E">
              <w:rPr>
                <w:rFonts w:ascii="標楷體" w:eastAsia="標楷體" w:hAnsi="標楷體" w:hint="eastAsia"/>
                <w:b/>
                <w:color w:val="000000" w:themeColor="text1"/>
                <w:sz w:val="28"/>
                <w:szCs w:val="28"/>
              </w:rPr>
              <w:t>週轉金貸款列</w:t>
            </w:r>
            <w:r w:rsidRPr="0083151E">
              <w:rPr>
                <w:rFonts w:ascii="標楷體" w:eastAsia="標楷體" w:hAnsi="標楷體" w:hint="eastAsia"/>
                <w:b/>
                <w:color w:val="000000" w:themeColor="text1"/>
                <w:sz w:val="28"/>
                <w:szCs w:val="28"/>
              </w:rPr>
              <w:lastRenderedPageBreak/>
              <w:t>入申報。</w:t>
            </w:r>
          </w:p>
          <w:p w:rsidR="00B341B9" w:rsidRPr="0083151E" w:rsidRDefault="00B341B9" w:rsidP="00933029">
            <w:pPr>
              <w:spacing w:line="460" w:lineRule="exact"/>
              <w:ind w:left="1410" w:hanging="276"/>
              <w:jc w:val="both"/>
              <w:rPr>
                <w:rFonts w:ascii="標楷體" w:eastAsia="標楷體" w:hAnsi="標楷體"/>
                <w:b/>
                <w:color w:val="000000" w:themeColor="text1"/>
                <w:spacing w:val="-14"/>
                <w:sz w:val="28"/>
                <w:szCs w:val="28"/>
              </w:rPr>
            </w:pPr>
          </w:p>
        </w:tc>
      </w:tr>
    </w:tbl>
    <w:p w:rsidR="00787153" w:rsidRPr="0083151E" w:rsidRDefault="00787153" w:rsidP="00B456C6">
      <w:pPr>
        <w:spacing w:line="460" w:lineRule="exact"/>
        <w:ind w:leftChars="200" w:left="1756" w:hanging="1276"/>
        <w:rPr>
          <w:rFonts w:ascii="標楷體" w:eastAsia="標楷體" w:hAnsi="標楷體" w:cs="Times New Roman"/>
          <w:b/>
          <w:color w:val="000000" w:themeColor="text1"/>
          <w:spacing w:val="-14"/>
          <w:sz w:val="28"/>
          <w:szCs w:val="28"/>
        </w:rPr>
      </w:pPr>
      <w:r w:rsidRPr="0083151E">
        <w:rPr>
          <w:rFonts w:ascii="標楷體" w:eastAsia="標楷體" w:hAnsi="標楷體" w:cs="Times New Roman" w:hint="eastAsia"/>
          <w:b/>
          <w:color w:val="000000" w:themeColor="text1"/>
          <w:spacing w:val="-14"/>
          <w:sz w:val="28"/>
          <w:szCs w:val="28"/>
        </w:rPr>
        <w:lastRenderedPageBreak/>
        <w:t>改善作法：</w:t>
      </w:r>
    </w:p>
    <w:p w:rsidR="00787153" w:rsidRPr="0083151E" w:rsidRDefault="00787153" w:rsidP="00B456C6">
      <w:pPr>
        <w:spacing w:line="460" w:lineRule="exact"/>
        <w:ind w:leftChars="200" w:left="175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1.參考法規：</w:t>
      </w:r>
    </w:p>
    <w:p w:rsidR="00A9418D" w:rsidRPr="0083151E" w:rsidRDefault="00A9418D" w:rsidP="00A9418D">
      <w:pPr>
        <w:spacing w:line="460" w:lineRule="exact"/>
        <w:ind w:left="709"/>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行政院農業委員會105年3月31日</w:t>
      </w:r>
      <w:proofErr w:type="gramStart"/>
      <w:r w:rsidRPr="0083151E">
        <w:rPr>
          <w:rFonts w:ascii="標楷體" w:eastAsia="標楷體" w:hAnsi="標楷體" w:cs="Times New Roman" w:hint="eastAsia"/>
          <w:color w:val="000000" w:themeColor="text1"/>
          <w:spacing w:val="-14"/>
          <w:sz w:val="28"/>
          <w:szCs w:val="28"/>
        </w:rPr>
        <w:t>農授金</w:t>
      </w:r>
      <w:proofErr w:type="gramEnd"/>
      <w:r w:rsidRPr="0083151E">
        <w:rPr>
          <w:rFonts w:ascii="標楷體" w:eastAsia="標楷體" w:hAnsi="標楷體" w:cs="Times New Roman" w:hint="eastAsia"/>
          <w:color w:val="000000" w:themeColor="text1"/>
          <w:spacing w:val="-14"/>
          <w:sz w:val="28"/>
          <w:szCs w:val="28"/>
        </w:rPr>
        <w:t>字第1055041199號函修正</w:t>
      </w:r>
      <w:r w:rsidRPr="0083151E">
        <w:rPr>
          <w:rFonts w:ascii="標楷體" w:eastAsia="標楷體" w:hAnsi="標楷體" w:cs="Times New Roman"/>
          <w:color w:val="000000" w:themeColor="text1"/>
          <w:spacing w:val="-14"/>
          <w:sz w:val="28"/>
          <w:szCs w:val="28"/>
        </w:rPr>
        <w:t>「農漁會信用部建築貸款管控措施（</w:t>
      </w:r>
      <w:r w:rsidRPr="0083151E">
        <w:rPr>
          <w:rFonts w:ascii="標楷體" w:eastAsia="標楷體" w:hAnsi="標楷體" w:cs="Times New Roman" w:hint="eastAsia"/>
          <w:color w:val="000000" w:themeColor="text1"/>
          <w:spacing w:val="-14"/>
          <w:sz w:val="28"/>
          <w:szCs w:val="28"/>
        </w:rPr>
        <w:t>含</w:t>
      </w:r>
      <w:r w:rsidRPr="0083151E">
        <w:rPr>
          <w:rFonts w:ascii="標楷體" w:eastAsia="標楷體" w:hAnsi="標楷體" w:cs="Times New Roman"/>
          <w:color w:val="000000" w:themeColor="text1"/>
          <w:spacing w:val="-14"/>
          <w:sz w:val="28"/>
          <w:szCs w:val="28"/>
        </w:rPr>
        <w:t>問與答）」</w:t>
      </w:r>
      <w:r w:rsidRPr="0083151E">
        <w:rPr>
          <w:rFonts w:ascii="標楷體" w:eastAsia="標楷體" w:hAnsi="標楷體" w:cs="Times New Roman" w:hint="eastAsia"/>
          <w:color w:val="000000" w:themeColor="text1"/>
          <w:spacing w:val="-14"/>
          <w:sz w:val="28"/>
          <w:szCs w:val="28"/>
        </w:rPr>
        <w:t>，建築貸款範圍如下:</w:t>
      </w:r>
    </w:p>
    <w:p w:rsidR="00A9418D" w:rsidRPr="0083151E" w:rsidRDefault="00A9418D" w:rsidP="00A9418D">
      <w:pPr>
        <w:spacing w:line="460" w:lineRule="exact"/>
        <w:ind w:leftChars="295" w:left="1275" w:hangingChars="225" w:hanging="567"/>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（1）建築業貸款：係指對以房屋興建投資為主要業務之企業承做之購地、興建房屋及週轉金貸款，但房屋興建屬自用部分則不包含之。</w:t>
      </w:r>
    </w:p>
    <w:p w:rsidR="00A9418D" w:rsidRPr="0083151E" w:rsidRDefault="00A9418D" w:rsidP="00A9418D">
      <w:pPr>
        <w:spacing w:line="460" w:lineRule="exact"/>
        <w:ind w:leftChars="295" w:left="1275" w:hangingChars="225" w:hanging="567"/>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（2）對其他企業建築貸款：係指對建築業以外之企業因承做房屋興建投資所辦理之購地、興建房屋及週轉金貸款，但房屋興建屬自用部分則不包含之。</w:t>
      </w:r>
    </w:p>
    <w:p w:rsidR="00A9418D" w:rsidRPr="0083151E" w:rsidRDefault="00A9418D" w:rsidP="00A9418D">
      <w:pPr>
        <w:spacing w:line="460" w:lineRule="exact"/>
        <w:ind w:left="1276" w:hanging="567"/>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（3）對個人戶建築貸款：係指對從事建築投資之個人所辦理之購地、興建房屋及週轉金貸款，但房屋興建屬自用部分則不包含之。</w:t>
      </w:r>
    </w:p>
    <w:p w:rsidR="00787153" w:rsidRPr="0083151E" w:rsidRDefault="00787153" w:rsidP="00B456C6">
      <w:pPr>
        <w:spacing w:line="460" w:lineRule="exact"/>
        <w:ind w:leftChars="200" w:left="175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2.正確建檔並依規定填報及落實複核機制。</w:t>
      </w:r>
    </w:p>
    <w:p w:rsidR="00787153" w:rsidRPr="0083151E" w:rsidRDefault="00787153" w:rsidP="00B456C6">
      <w:pPr>
        <w:spacing w:line="460" w:lineRule="exact"/>
        <w:ind w:leftChars="200" w:left="175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3.內部稽核將申報資料正確性列為查核重點。</w:t>
      </w:r>
    </w:p>
    <w:p w:rsidR="00116C48" w:rsidRPr="0083151E" w:rsidRDefault="00116C48" w:rsidP="00116C48">
      <w:pPr>
        <w:spacing w:line="460" w:lineRule="exact"/>
        <w:ind w:left="1276" w:hanging="1276"/>
        <w:jc w:val="both"/>
        <w:rPr>
          <w:rFonts w:ascii="標楷體" w:eastAsia="標楷體" w:hAnsi="標楷體" w:cs="Times New Roman"/>
          <w:color w:val="000000" w:themeColor="text1"/>
          <w:spacing w:val="-14"/>
          <w:sz w:val="28"/>
          <w:szCs w:val="28"/>
        </w:rPr>
      </w:pPr>
    </w:p>
    <w:tbl>
      <w:tblPr>
        <w:tblStyle w:val="a8"/>
        <w:tblW w:w="8505"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505"/>
      </w:tblGrid>
      <w:tr w:rsidR="00116C48" w:rsidRPr="0083151E" w:rsidTr="00E57FFE">
        <w:tc>
          <w:tcPr>
            <w:tcW w:w="8505" w:type="dxa"/>
          </w:tcPr>
          <w:p w:rsidR="00116C48" w:rsidRPr="0083151E" w:rsidRDefault="00116C48" w:rsidP="00E57FFE">
            <w:pPr>
              <w:spacing w:line="460" w:lineRule="exact"/>
              <w:jc w:val="left"/>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態樣四：辦理應收(應付)利息計提作業</w:t>
            </w:r>
            <w:r w:rsidR="004D3640">
              <w:rPr>
                <w:rFonts w:ascii="標楷體" w:eastAsia="標楷體" w:hAnsi="標楷體" w:hint="eastAsia"/>
                <w:b/>
                <w:color w:val="000000" w:themeColor="text1"/>
                <w:sz w:val="28"/>
                <w:szCs w:val="28"/>
              </w:rPr>
              <w:t>錯誤</w:t>
            </w:r>
            <w:r w:rsidRPr="0083151E">
              <w:rPr>
                <w:rFonts w:ascii="標楷體" w:eastAsia="標楷體" w:hAnsi="標楷體" w:hint="eastAsia"/>
                <w:b/>
                <w:color w:val="000000" w:themeColor="text1"/>
                <w:sz w:val="28"/>
                <w:szCs w:val="28"/>
              </w:rPr>
              <w:t>：</w:t>
            </w:r>
          </w:p>
          <w:p w:rsidR="00116C48" w:rsidRPr="0083151E" w:rsidRDefault="00116C48" w:rsidP="00E57FFE">
            <w:pPr>
              <w:spacing w:line="460" w:lineRule="exact"/>
              <w:ind w:left="1166" w:firstLine="8"/>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辦理放款應收利息（利息收入）月算計提作業，</w:t>
            </w:r>
            <w:proofErr w:type="gramStart"/>
            <w:r w:rsidRPr="0083151E">
              <w:rPr>
                <w:rFonts w:ascii="標楷體" w:eastAsia="標楷體" w:hAnsi="標楷體" w:hint="eastAsia"/>
                <w:b/>
                <w:color w:val="000000" w:themeColor="text1"/>
                <w:sz w:val="28"/>
                <w:szCs w:val="28"/>
              </w:rPr>
              <w:t>逕</w:t>
            </w:r>
            <w:proofErr w:type="gramEnd"/>
            <w:r w:rsidRPr="0083151E">
              <w:rPr>
                <w:rFonts w:ascii="標楷體" w:eastAsia="標楷體" w:hAnsi="標楷體" w:hint="eastAsia"/>
                <w:b/>
                <w:color w:val="000000" w:themeColor="text1"/>
                <w:sz w:val="28"/>
                <w:szCs w:val="28"/>
              </w:rPr>
              <w:t>以電腦共用中心列印資料為月</w:t>
            </w:r>
            <w:proofErr w:type="gramStart"/>
            <w:r w:rsidRPr="0083151E">
              <w:rPr>
                <w:rFonts w:ascii="標楷體" w:eastAsia="標楷體" w:hAnsi="標楷體" w:hint="eastAsia"/>
                <w:b/>
                <w:color w:val="000000" w:themeColor="text1"/>
                <w:sz w:val="28"/>
                <w:szCs w:val="28"/>
              </w:rPr>
              <w:t>算計息</w:t>
            </w:r>
            <w:proofErr w:type="gramEnd"/>
            <w:r w:rsidRPr="0083151E">
              <w:rPr>
                <w:rFonts w:ascii="標楷體" w:eastAsia="標楷體" w:hAnsi="標楷體" w:hint="eastAsia"/>
                <w:b/>
                <w:color w:val="000000" w:themeColor="text1"/>
                <w:sz w:val="28"/>
                <w:szCs w:val="28"/>
              </w:rPr>
              <w:t>（前一日放款本金餘額）基礎，未考量月底（當日）借戶還本繳息或新增貸款變動對應收利息（利息收入）之影響，並未執行電腦月結程序，</w:t>
            </w:r>
            <w:proofErr w:type="gramStart"/>
            <w:r w:rsidRPr="0083151E">
              <w:rPr>
                <w:rFonts w:ascii="標楷體" w:eastAsia="標楷體" w:hAnsi="標楷體" w:hint="eastAsia"/>
                <w:b/>
                <w:color w:val="000000" w:themeColor="text1"/>
                <w:sz w:val="28"/>
                <w:szCs w:val="28"/>
              </w:rPr>
              <w:t>致應收</w:t>
            </w:r>
            <w:proofErr w:type="gramEnd"/>
            <w:r w:rsidRPr="0083151E">
              <w:rPr>
                <w:rFonts w:ascii="標楷體" w:eastAsia="標楷體" w:hAnsi="標楷體" w:hint="eastAsia"/>
                <w:b/>
                <w:color w:val="000000" w:themeColor="text1"/>
                <w:sz w:val="28"/>
                <w:szCs w:val="28"/>
              </w:rPr>
              <w:t>利息多列。</w:t>
            </w:r>
          </w:p>
          <w:p w:rsidR="00116C48" w:rsidRPr="0083151E" w:rsidRDefault="00116C48" w:rsidP="00E57FFE">
            <w:pPr>
              <w:spacing w:line="460" w:lineRule="exact"/>
              <w:ind w:left="1166" w:firstLine="8"/>
              <w:jc w:val="both"/>
              <w:rPr>
                <w:rFonts w:ascii="標楷體" w:eastAsia="標楷體" w:hAnsi="標楷體"/>
                <w:b/>
                <w:color w:val="000000" w:themeColor="text1"/>
                <w:sz w:val="28"/>
                <w:szCs w:val="28"/>
              </w:rPr>
            </w:pPr>
          </w:p>
        </w:tc>
      </w:tr>
    </w:tbl>
    <w:p w:rsidR="00116C48" w:rsidRPr="0083151E" w:rsidRDefault="00116C48" w:rsidP="00116C48">
      <w:pPr>
        <w:spacing w:line="460" w:lineRule="exact"/>
        <w:ind w:left="1276" w:hanging="1276"/>
        <w:rPr>
          <w:rFonts w:ascii="標楷體" w:eastAsia="標楷體" w:hAnsi="標楷體" w:cs="Times New Roman"/>
          <w:b/>
          <w:color w:val="000000" w:themeColor="text1"/>
          <w:spacing w:val="-14"/>
          <w:sz w:val="28"/>
          <w:szCs w:val="28"/>
        </w:rPr>
      </w:pPr>
      <w:r w:rsidRPr="0083151E">
        <w:rPr>
          <w:rFonts w:ascii="標楷體" w:eastAsia="標楷體" w:hAnsi="標楷體" w:cs="Times New Roman" w:hint="eastAsia"/>
          <w:b/>
          <w:color w:val="000000" w:themeColor="text1"/>
          <w:spacing w:val="-14"/>
          <w:sz w:val="28"/>
          <w:szCs w:val="28"/>
        </w:rPr>
        <w:t>改善作法：</w:t>
      </w:r>
    </w:p>
    <w:p w:rsidR="00116C48" w:rsidRPr="0083151E" w:rsidRDefault="00116C48" w:rsidP="00116C48">
      <w:pPr>
        <w:spacing w:line="460" w:lineRule="exact"/>
        <w:ind w:left="127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1.參考法規：</w:t>
      </w:r>
    </w:p>
    <w:p w:rsidR="00116C48" w:rsidRPr="0083151E" w:rsidRDefault="00116C48" w:rsidP="00116C48">
      <w:pPr>
        <w:spacing w:line="460" w:lineRule="exact"/>
        <w:ind w:left="1276" w:hanging="992"/>
        <w:jc w:val="both"/>
        <w:rPr>
          <w:rFonts w:ascii="標楷體" w:eastAsia="標楷體" w:hAnsi="標楷體" w:cs="Times New Roman"/>
          <w:color w:val="000000" w:themeColor="text1"/>
          <w:spacing w:val="-14"/>
          <w:sz w:val="28"/>
          <w:szCs w:val="28"/>
        </w:rPr>
      </w:pPr>
      <w:r w:rsidRPr="0083151E">
        <w:rPr>
          <w:rFonts w:ascii="標楷體" w:eastAsia="標楷體" w:hAnsi="標楷體" w:hint="eastAsia"/>
          <w:color w:val="000000" w:themeColor="text1"/>
          <w:sz w:val="28"/>
          <w:szCs w:val="28"/>
        </w:rPr>
        <w:t>農會財務處理辦法第3條</w:t>
      </w:r>
      <w:r w:rsidRPr="0083151E">
        <w:rPr>
          <w:rFonts w:ascii="標楷體" w:eastAsia="標楷體" w:hAnsi="標楷體" w:cs="Times New Roman" w:hint="eastAsia"/>
          <w:color w:val="000000" w:themeColor="text1"/>
          <w:spacing w:val="-14"/>
          <w:sz w:val="28"/>
          <w:szCs w:val="28"/>
        </w:rPr>
        <w:t>。</w:t>
      </w:r>
    </w:p>
    <w:p w:rsidR="00116C48" w:rsidRPr="0083151E" w:rsidRDefault="00116C48" w:rsidP="00116C48">
      <w:pPr>
        <w:spacing w:line="460" w:lineRule="exact"/>
        <w:ind w:left="1276" w:hanging="1276"/>
        <w:jc w:val="both"/>
        <w:rPr>
          <w:rFonts w:ascii="標楷體" w:eastAsia="標楷體" w:hAnsi="標楷體" w:cs="Times New Roman"/>
          <w:color w:val="000000" w:themeColor="text1"/>
          <w:spacing w:val="-14"/>
          <w:sz w:val="28"/>
          <w:szCs w:val="28"/>
        </w:rPr>
      </w:pPr>
      <w:r w:rsidRPr="0083151E">
        <w:rPr>
          <w:rFonts w:ascii="標楷體" w:eastAsia="標楷體" w:hAnsi="標楷體" w:hint="eastAsia"/>
          <w:color w:val="000000" w:themeColor="text1"/>
          <w:sz w:val="28"/>
          <w:szCs w:val="28"/>
        </w:rPr>
        <w:t>2</w:t>
      </w:r>
      <w:r w:rsidRPr="0083151E">
        <w:rPr>
          <w:rFonts w:ascii="標楷體" w:eastAsia="標楷體" w:hAnsi="標楷體" w:cs="Times New Roman" w:hint="eastAsia"/>
          <w:color w:val="000000" w:themeColor="text1"/>
          <w:spacing w:val="-14"/>
          <w:sz w:val="28"/>
          <w:szCs w:val="28"/>
        </w:rPr>
        <w:t>.依權責發生制</w:t>
      </w:r>
      <w:proofErr w:type="gramStart"/>
      <w:r w:rsidRPr="0083151E">
        <w:rPr>
          <w:rFonts w:ascii="標楷體" w:eastAsia="標楷體" w:hAnsi="標楷體" w:cs="Times New Roman" w:hint="eastAsia"/>
          <w:color w:val="000000" w:themeColor="text1"/>
          <w:spacing w:val="-14"/>
          <w:sz w:val="28"/>
          <w:szCs w:val="28"/>
        </w:rPr>
        <w:t>覈實認</w:t>
      </w:r>
      <w:proofErr w:type="gramEnd"/>
      <w:r w:rsidRPr="0083151E">
        <w:rPr>
          <w:rFonts w:ascii="標楷體" w:eastAsia="標楷體" w:hAnsi="標楷體" w:cs="Times New Roman" w:hint="eastAsia"/>
          <w:color w:val="000000" w:themeColor="text1"/>
          <w:spacing w:val="-14"/>
          <w:sz w:val="28"/>
          <w:szCs w:val="28"/>
        </w:rPr>
        <w:t>列。</w:t>
      </w:r>
    </w:p>
    <w:p w:rsidR="00116C48" w:rsidRPr="0083151E" w:rsidRDefault="00116C48" w:rsidP="00116C48">
      <w:pPr>
        <w:spacing w:line="460" w:lineRule="exact"/>
        <w:ind w:left="1693" w:hanging="1693"/>
        <w:jc w:val="both"/>
        <w:rPr>
          <w:rFonts w:ascii="標楷體" w:eastAsia="標楷體" w:hAnsi="標楷體" w:cs="Times New Roman"/>
          <w:color w:val="000000" w:themeColor="text1"/>
          <w:spacing w:val="-14"/>
          <w:sz w:val="28"/>
          <w:szCs w:val="28"/>
        </w:rPr>
      </w:pPr>
      <w:r w:rsidRPr="0083151E">
        <w:rPr>
          <w:rFonts w:ascii="標楷體" w:eastAsia="標楷體" w:hAnsi="標楷體" w:cs="Times New Roman" w:hint="eastAsia"/>
          <w:color w:val="000000" w:themeColor="text1"/>
          <w:spacing w:val="-14"/>
          <w:sz w:val="28"/>
          <w:szCs w:val="28"/>
        </w:rPr>
        <w:t>3.內部稽核將申報資料正確性列為查核重點。</w:t>
      </w:r>
    </w:p>
    <w:p w:rsidR="00116C48" w:rsidRPr="0083151E" w:rsidRDefault="00116C48" w:rsidP="00116C48">
      <w:pPr>
        <w:spacing w:line="460" w:lineRule="exact"/>
        <w:ind w:left="1276" w:hanging="1276"/>
        <w:jc w:val="both"/>
        <w:rPr>
          <w:rFonts w:ascii="標楷體" w:eastAsia="標楷體" w:hAnsi="標楷體" w:cs="Times New Roman"/>
          <w:color w:val="000000" w:themeColor="text1"/>
          <w:spacing w:val="-14"/>
          <w:sz w:val="28"/>
          <w:szCs w:val="28"/>
        </w:rPr>
      </w:pPr>
    </w:p>
    <w:p w:rsidR="00116C48" w:rsidRPr="0083151E" w:rsidRDefault="00116C48" w:rsidP="00116C48">
      <w:pPr>
        <w:spacing w:line="460" w:lineRule="exact"/>
        <w:ind w:left="1276" w:hanging="1276"/>
        <w:jc w:val="both"/>
        <w:rPr>
          <w:rFonts w:ascii="標楷體" w:eastAsia="標楷體" w:hAnsi="標楷體" w:cs="Times New Roman"/>
          <w:color w:val="000000" w:themeColor="text1"/>
          <w:spacing w:val="-14"/>
          <w:sz w:val="28"/>
          <w:szCs w:val="28"/>
        </w:rPr>
      </w:pPr>
    </w:p>
    <w:p w:rsidR="009B59DC" w:rsidRPr="0083151E" w:rsidRDefault="009B59DC" w:rsidP="00B456C6">
      <w:pPr>
        <w:spacing w:line="460" w:lineRule="exact"/>
        <w:ind w:leftChars="200" w:left="1756" w:hanging="1276"/>
        <w:jc w:val="both"/>
        <w:rPr>
          <w:rFonts w:ascii="標楷體" w:eastAsia="標楷體" w:hAnsi="標楷體" w:cs="Times New Roman"/>
          <w:color w:val="000000" w:themeColor="text1"/>
          <w:spacing w:val="-14"/>
          <w:sz w:val="28"/>
          <w:szCs w:val="28"/>
        </w:rPr>
      </w:pPr>
    </w:p>
    <w:sectPr w:rsidR="009B59DC" w:rsidRPr="0083151E" w:rsidSect="000B72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E19" w:rsidRDefault="00BE4E19" w:rsidP="00A42FFF">
      <w:r>
        <w:separator/>
      </w:r>
    </w:p>
  </w:endnote>
  <w:endnote w:type="continuationSeparator" w:id="0">
    <w:p w:rsidR="00BE4E19" w:rsidRDefault="00BE4E19"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BE4E19" w:rsidRDefault="0098168A">
        <w:pPr>
          <w:pStyle w:val="a6"/>
          <w:jc w:val="center"/>
        </w:pPr>
        <w:fldSimple w:instr=" PAGE   \* MERGEFORMAT ">
          <w:r w:rsidR="00AB1D35" w:rsidRPr="00AB1D35">
            <w:rPr>
              <w:noProof/>
              <w:lang w:val="zh-TW"/>
            </w:rPr>
            <w:t>4</w:t>
          </w:r>
        </w:fldSimple>
      </w:p>
    </w:sdtContent>
  </w:sdt>
  <w:p w:rsidR="00BE4E19" w:rsidRDefault="00BE4E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E19" w:rsidRDefault="00BE4E19" w:rsidP="00A42FFF">
      <w:r>
        <w:separator/>
      </w:r>
    </w:p>
  </w:footnote>
  <w:footnote w:type="continuationSeparator" w:id="0">
    <w:p w:rsidR="00BE4E19" w:rsidRDefault="00BE4E19"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nsid w:val="410A695B"/>
    <w:multiLevelType w:val="hybridMultilevel"/>
    <w:tmpl w:val="F29E3AF8"/>
    <w:lvl w:ilvl="0" w:tplc="2D0A32BE">
      <w:start w:val="1"/>
      <w:numFmt w:val="decimal"/>
      <w:lvlText w:val="%1."/>
      <w:lvlJc w:val="left"/>
      <w:pPr>
        <w:ind w:left="1486"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
    <w:nsid w:val="6819501C"/>
    <w:multiLevelType w:val="hybridMultilevel"/>
    <w:tmpl w:val="5DDA0912"/>
    <w:lvl w:ilvl="0" w:tplc="060C7CA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7585" style="mso-position-horizontal:center;mso-height-percent:200;mso-width-relative:margin;mso-height-relative:margin" fillcolor="white" strokecolor="#0070c0">
      <v:fill color="white"/>
      <v:stroke color="#0070c0" weight="6pt" linestyle="thickBetweenThin"/>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3AD5"/>
    <w:rsid w:val="00005FCF"/>
    <w:rsid w:val="00011DA0"/>
    <w:rsid w:val="00022A6F"/>
    <w:rsid w:val="0003582C"/>
    <w:rsid w:val="000375B2"/>
    <w:rsid w:val="00056A0F"/>
    <w:rsid w:val="00062F65"/>
    <w:rsid w:val="000825B8"/>
    <w:rsid w:val="000A3208"/>
    <w:rsid w:val="000B7245"/>
    <w:rsid w:val="000E4016"/>
    <w:rsid w:val="00104718"/>
    <w:rsid w:val="0011694C"/>
    <w:rsid w:val="00116C48"/>
    <w:rsid w:val="0013053A"/>
    <w:rsid w:val="0014405D"/>
    <w:rsid w:val="00151F80"/>
    <w:rsid w:val="00156785"/>
    <w:rsid w:val="00182ED2"/>
    <w:rsid w:val="00184845"/>
    <w:rsid w:val="00185EF7"/>
    <w:rsid w:val="00191882"/>
    <w:rsid w:val="00196166"/>
    <w:rsid w:val="001B214A"/>
    <w:rsid w:val="001C08D9"/>
    <w:rsid w:val="001C4048"/>
    <w:rsid w:val="001F27DA"/>
    <w:rsid w:val="001F7FF5"/>
    <w:rsid w:val="00201517"/>
    <w:rsid w:val="00201E9E"/>
    <w:rsid w:val="002049F0"/>
    <w:rsid w:val="0021592E"/>
    <w:rsid w:val="00217B7D"/>
    <w:rsid w:val="0022063C"/>
    <w:rsid w:val="00231107"/>
    <w:rsid w:val="00274E06"/>
    <w:rsid w:val="002758F0"/>
    <w:rsid w:val="002A5950"/>
    <w:rsid w:val="002A5B85"/>
    <w:rsid w:val="002D2343"/>
    <w:rsid w:val="00302A09"/>
    <w:rsid w:val="00305064"/>
    <w:rsid w:val="00315CFC"/>
    <w:rsid w:val="00331719"/>
    <w:rsid w:val="00370864"/>
    <w:rsid w:val="00375A90"/>
    <w:rsid w:val="003806EC"/>
    <w:rsid w:val="00387865"/>
    <w:rsid w:val="003A6E0E"/>
    <w:rsid w:val="003C6D47"/>
    <w:rsid w:val="003E1ECA"/>
    <w:rsid w:val="003F4A29"/>
    <w:rsid w:val="0042387E"/>
    <w:rsid w:val="00431CC5"/>
    <w:rsid w:val="00443757"/>
    <w:rsid w:val="0044639D"/>
    <w:rsid w:val="0045186F"/>
    <w:rsid w:val="0046084B"/>
    <w:rsid w:val="00476D42"/>
    <w:rsid w:val="00483217"/>
    <w:rsid w:val="00486559"/>
    <w:rsid w:val="004A2FA1"/>
    <w:rsid w:val="004C340B"/>
    <w:rsid w:val="004D3640"/>
    <w:rsid w:val="004E67EB"/>
    <w:rsid w:val="00516F31"/>
    <w:rsid w:val="005801D4"/>
    <w:rsid w:val="00585F2E"/>
    <w:rsid w:val="0059136F"/>
    <w:rsid w:val="005A4389"/>
    <w:rsid w:val="005C2ED4"/>
    <w:rsid w:val="005F1BFC"/>
    <w:rsid w:val="006013FE"/>
    <w:rsid w:val="00625931"/>
    <w:rsid w:val="00670FBC"/>
    <w:rsid w:val="00674830"/>
    <w:rsid w:val="00676481"/>
    <w:rsid w:val="006A0B0A"/>
    <w:rsid w:val="006B20B9"/>
    <w:rsid w:val="006D615D"/>
    <w:rsid w:val="006F3AE2"/>
    <w:rsid w:val="00702F0A"/>
    <w:rsid w:val="00706EEC"/>
    <w:rsid w:val="00711738"/>
    <w:rsid w:val="007118DD"/>
    <w:rsid w:val="00726C64"/>
    <w:rsid w:val="00726FA3"/>
    <w:rsid w:val="007352E4"/>
    <w:rsid w:val="00743C5F"/>
    <w:rsid w:val="00752E13"/>
    <w:rsid w:val="007735AB"/>
    <w:rsid w:val="00785B9F"/>
    <w:rsid w:val="00787153"/>
    <w:rsid w:val="007A5622"/>
    <w:rsid w:val="007B32C9"/>
    <w:rsid w:val="007D5ACA"/>
    <w:rsid w:val="007F1BBD"/>
    <w:rsid w:val="008100B0"/>
    <w:rsid w:val="008228CB"/>
    <w:rsid w:val="008275F7"/>
    <w:rsid w:val="0083151E"/>
    <w:rsid w:val="008361CF"/>
    <w:rsid w:val="00865634"/>
    <w:rsid w:val="008725A6"/>
    <w:rsid w:val="008741CB"/>
    <w:rsid w:val="00882EF2"/>
    <w:rsid w:val="00885987"/>
    <w:rsid w:val="008911F8"/>
    <w:rsid w:val="008B239E"/>
    <w:rsid w:val="008D0AF9"/>
    <w:rsid w:val="008D7E82"/>
    <w:rsid w:val="00916238"/>
    <w:rsid w:val="009275C2"/>
    <w:rsid w:val="00933029"/>
    <w:rsid w:val="00933F8B"/>
    <w:rsid w:val="009366A0"/>
    <w:rsid w:val="00943EAA"/>
    <w:rsid w:val="00956E25"/>
    <w:rsid w:val="009622D4"/>
    <w:rsid w:val="0096332E"/>
    <w:rsid w:val="0098168A"/>
    <w:rsid w:val="009A2949"/>
    <w:rsid w:val="009B59DC"/>
    <w:rsid w:val="00A351A4"/>
    <w:rsid w:val="00A4082E"/>
    <w:rsid w:val="00A41434"/>
    <w:rsid w:val="00A42FFF"/>
    <w:rsid w:val="00A57694"/>
    <w:rsid w:val="00A655EC"/>
    <w:rsid w:val="00A759B1"/>
    <w:rsid w:val="00A83B20"/>
    <w:rsid w:val="00A87355"/>
    <w:rsid w:val="00A9418D"/>
    <w:rsid w:val="00AA0582"/>
    <w:rsid w:val="00AB1D35"/>
    <w:rsid w:val="00AC5C74"/>
    <w:rsid w:val="00AC653B"/>
    <w:rsid w:val="00AD2AB9"/>
    <w:rsid w:val="00AE5701"/>
    <w:rsid w:val="00AE6686"/>
    <w:rsid w:val="00B24D0A"/>
    <w:rsid w:val="00B272DE"/>
    <w:rsid w:val="00B341B9"/>
    <w:rsid w:val="00B36A56"/>
    <w:rsid w:val="00B456C6"/>
    <w:rsid w:val="00B66CFA"/>
    <w:rsid w:val="00B77BBC"/>
    <w:rsid w:val="00B82C6C"/>
    <w:rsid w:val="00B8680D"/>
    <w:rsid w:val="00B91699"/>
    <w:rsid w:val="00BA45F7"/>
    <w:rsid w:val="00BB4E35"/>
    <w:rsid w:val="00BC4476"/>
    <w:rsid w:val="00BE4E19"/>
    <w:rsid w:val="00BE7BE6"/>
    <w:rsid w:val="00BF30A9"/>
    <w:rsid w:val="00C03ECB"/>
    <w:rsid w:val="00C13B18"/>
    <w:rsid w:val="00C24610"/>
    <w:rsid w:val="00C638D0"/>
    <w:rsid w:val="00C71F97"/>
    <w:rsid w:val="00CD7949"/>
    <w:rsid w:val="00CE0EE8"/>
    <w:rsid w:val="00D31BA8"/>
    <w:rsid w:val="00D67677"/>
    <w:rsid w:val="00DB0876"/>
    <w:rsid w:val="00DC13BB"/>
    <w:rsid w:val="00DD58B9"/>
    <w:rsid w:val="00DE0D94"/>
    <w:rsid w:val="00DE59D9"/>
    <w:rsid w:val="00DF77B6"/>
    <w:rsid w:val="00E04711"/>
    <w:rsid w:val="00E165AF"/>
    <w:rsid w:val="00E24824"/>
    <w:rsid w:val="00E45FBB"/>
    <w:rsid w:val="00E46306"/>
    <w:rsid w:val="00E620AC"/>
    <w:rsid w:val="00E84FC6"/>
    <w:rsid w:val="00EA261D"/>
    <w:rsid w:val="00ED4A59"/>
    <w:rsid w:val="00ED6091"/>
    <w:rsid w:val="00EE4A65"/>
    <w:rsid w:val="00EE6A92"/>
    <w:rsid w:val="00F02F5E"/>
    <w:rsid w:val="00F07392"/>
    <w:rsid w:val="00F16DEF"/>
    <w:rsid w:val="00F33DBC"/>
    <w:rsid w:val="00F6254A"/>
    <w:rsid w:val="00F77C00"/>
    <w:rsid w:val="00F80170"/>
    <w:rsid w:val="00FB4DF7"/>
    <w:rsid w:val="00FC0492"/>
    <w:rsid w:val="00FD6F29"/>
    <w:rsid w:val="00FF0B20"/>
    <w:rsid w:val="00FF178F"/>
    <w:rsid w:val="00FF439B"/>
    <w:rsid w:val="00FF7C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style="mso-position-horizontal:center;mso-height-percent:200;mso-width-relative:margin;mso-height-relative:margin" fillcolor="white" strokecolor="#0070c0">
      <v:fill color="white"/>
      <v:stroke color="#0070c0" weight="6pt" linestyle="thickBetweenThin"/>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5DBE8-0D35-4A2F-AC9B-6B0BB72A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1368</Characters>
  <Application>Microsoft Office Word</Application>
  <DocSecurity>4</DocSecurity>
  <Lines>11</Lines>
  <Paragraphs>3</Paragraphs>
  <ScaleCrop>false</ScaleCrop>
  <Company>CDIC</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c256</cp:lastModifiedBy>
  <cp:revision>2</cp:revision>
  <cp:lastPrinted>2016-07-26T08:20:00Z</cp:lastPrinted>
  <dcterms:created xsi:type="dcterms:W3CDTF">2016-07-28T08:38:00Z</dcterms:created>
  <dcterms:modified xsi:type="dcterms:W3CDTF">2016-07-28T08:38:00Z</dcterms:modified>
</cp:coreProperties>
</file>