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7D" w:rsidRPr="00774012" w:rsidRDefault="004E67EB" w:rsidP="003B3F7C">
      <w:pPr>
        <w:spacing w:line="460" w:lineRule="exact"/>
        <w:ind w:left="284" w:hanging="284"/>
        <w:jc w:val="center"/>
        <w:rPr>
          <w:rFonts w:ascii="標楷體" w:eastAsia="標楷體" w:hAnsi="標楷體"/>
          <w:b/>
          <w:sz w:val="28"/>
          <w:szCs w:val="28"/>
        </w:rPr>
      </w:pPr>
      <w:r w:rsidRPr="00774012">
        <w:rPr>
          <w:rFonts w:ascii="標楷體" w:eastAsia="標楷體" w:hAnsi="標楷體"/>
          <w:b/>
          <w:sz w:val="28"/>
          <w:szCs w:val="28"/>
        </w:rPr>
        <w:t>風險指標資料</w:t>
      </w:r>
      <w:r w:rsidRPr="00774012">
        <w:rPr>
          <w:rFonts w:ascii="標楷體" w:eastAsia="標楷體" w:hAnsi="標楷體" w:hint="eastAsia"/>
          <w:b/>
          <w:sz w:val="28"/>
          <w:szCs w:val="28"/>
        </w:rPr>
        <w:t>查核缺失態樣</w:t>
      </w:r>
      <w:r w:rsidR="00DF287D" w:rsidRPr="00774012">
        <w:rPr>
          <w:rFonts w:ascii="標楷體" w:eastAsia="標楷體" w:hAnsi="標楷體" w:hint="eastAsia"/>
          <w:b/>
          <w:sz w:val="28"/>
          <w:szCs w:val="28"/>
        </w:rPr>
        <w:t>（10</w:t>
      </w:r>
      <w:r w:rsidR="000A0EF2" w:rsidRPr="00774012">
        <w:rPr>
          <w:rFonts w:ascii="標楷體" w:eastAsia="標楷體" w:hAnsi="標楷體" w:hint="eastAsia"/>
          <w:b/>
          <w:sz w:val="28"/>
          <w:szCs w:val="28"/>
        </w:rPr>
        <w:t>4</w:t>
      </w:r>
      <w:r w:rsidR="00DF287D" w:rsidRPr="00774012">
        <w:rPr>
          <w:rFonts w:ascii="標楷體" w:eastAsia="標楷體" w:hAnsi="標楷體" w:hint="eastAsia"/>
          <w:b/>
          <w:sz w:val="28"/>
          <w:szCs w:val="28"/>
        </w:rPr>
        <w:t>年</w:t>
      </w:r>
      <w:r w:rsidR="000A0EF2" w:rsidRPr="00774012">
        <w:rPr>
          <w:rFonts w:ascii="標楷體" w:eastAsia="標楷體" w:hAnsi="標楷體" w:hint="eastAsia"/>
          <w:b/>
          <w:sz w:val="28"/>
          <w:szCs w:val="28"/>
        </w:rPr>
        <w:t>下半年</w:t>
      </w:r>
      <w:r w:rsidR="00DF287D" w:rsidRPr="00774012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4E67EB" w:rsidRPr="00774012" w:rsidRDefault="00DF287D" w:rsidP="003B3F7C">
      <w:pPr>
        <w:spacing w:line="460" w:lineRule="exact"/>
        <w:ind w:left="284" w:hanging="284"/>
        <w:jc w:val="center"/>
        <w:rPr>
          <w:rFonts w:ascii="標楷體" w:eastAsia="標楷體" w:hAnsi="標楷體"/>
          <w:b/>
          <w:sz w:val="28"/>
          <w:szCs w:val="28"/>
        </w:rPr>
      </w:pPr>
      <w:r w:rsidRPr="00774012">
        <w:rPr>
          <w:rFonts w:ascii="標楷體" w:eastAsia="標楷體" w:hAnsi="標楷體" w:hint="eastAsia"/>
          <w:b/>
          <w:sz w:val="28"/>
          <w:szCs w:val="28"/>
        </w:rPr>
        <w:t>金融機構類別：信用合作社</w:t>
      </w: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76D42" w:rsidRPr="00E02E75" w:rsidTr="00BA3A03">
        <w:trPr>
          <w:trHeight w:val="4362"/>
        </w:trPr>
        <w:tc>
          <w:tcPr>
            <w:tcW w:w="8372" w:type="dxa"/>
          </w:tcPr>
          <w:p w:rsidR="008D0AF9" w:rsidRPr="00E02E75" w:rsidRDefault="00DF287D" w:rsidP="008D0AF9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proofErr w:type="gramStart"/>
            <w:r w:rsidRP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8D0AF9" w:rsidRP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應予評估資產申報及分類錯誤：</w:t>
            </w:r>
          </w:p>
          <w:p w:rsidR="008D0AF9" w:rsidRPr="00E02E75" w:rsidRDefault="008D0AF9" w:rsidP="00DF287D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1.借戶</w:t>
            </w:r>
            <w:r w:rsidR="00564A35" w:rsidRP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本金雖未超逾清償期，惟已對主、從債務人</w:t>
            </w:r>
            <w:proofErr w:type="gramStart"/>
            <w:r w:rsidR="00564A35" w:rsidRP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訴追或處分</w:t>
            </w:r>
            <w:proofErr w:type="gramEnd"/>
            <w:r w:rsidR="00564A35" w:rsidRP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擔保品，或為他人之保證人，他人借款已為呆帳戶，或</w:t>
            </w:r>
            <w:proofErr w:type="gramStart"/>
            <w:r w:rsidRP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擔保品遭第三</w:t>
            </w:r>
            <w:proofErr w:type="gramEnd"/>
            <w:r w:rsidRP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人強制執行</w:t>
            </w:r>
            <w:r w:rsidR="00564A35" w:rsidRP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，或</w:t>
            </w:r>
            <w:r w:rsidRP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票據遭受拒絕往來戶處分</w:t>
            </w:r>
            <w:r w:rsidR="00564A35" w:rsidRP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或前置</w:t>
            </w:r>
            <w:proofErr w:type="gramStart"/>
            <w:r w:rsidRP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協商等債信</w:t>
            </w:r>
            <w:proofErr w:type="gramEnd"/>
            <w:r w:rsidRP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不良情形者，及其應提列之應收利息，未</w:t>
            </w:r>
            <w:r w:rsidR="006D1C41" w:rsidRP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列</w:t>
            </w:r>
            <w:r w:rsidRP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為應予注意（Ⅱ類）。</w:t>
            </w:r>
          </w:p>
          <w:p w:rsidR="00D20D79" w:rsidRPr="00E02E75" w:rsidRDefault="00B328AE" w:rsidP="00D20D79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D20D79" w:rsidRP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.墊付催收戶之訴訟費用未列入評估。</w:t>
            </w:r>
          </w:p>
          <w:p w:rsidR="00D20D79" w:rsidRPr="00E02E75" w:rsidRDefault="00B328AE" w:rsidP="00E02E75">
            <w:pPr>
              <w:spacing w:line="460" w:lineRule="exact"/>
              <w:ind w:left="1410" w:hanging="276"/>
              <w:jc w:val="both"/>
              <w:rPr>
                <w:rFonts w:hAnsi="標楷體"/>
                <w:b/>
                <w:szCs w:val="28"/>
              </w:rPr>
            </w:pPr>
            <w:r w:rsidRP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D20D79" w:rsidRP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.催收戶積欠本金已超過清償期</w:t>
            </w:r>
            <w:r w:rsidR="00D20D79" w:rsidRPr="00E02E75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="00D20D79" w:rsidRP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個月以上，仍列為應予注意</w:t>
            </w:r>
            <w:r w:rsid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(Ⅱ類</w:t>
            </w:r>
            <w:proofErr w:type="gramStart"/>
            <w:r w:rsidR="00D20D79" w:rsidRP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proofErr w:type="gramEnd"/>
            <w:r w:rsidR="00D20D79" w:rsidRPr="00E02E75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</w:tbl>
    <w:p w:rsidR="004E67EB" w:rsidRPr="00774012" w:rsidRDefault="004E67EB" w:rsidP="00BA3A03">
      <w:pPr>
        <w:spacing w:line="460" w:lineRule="exact"/>
        <w:ind w:leftChars="200" w:left="1756" w:hanging="1276"/>
        <w:rPr>
          <w:rFonts w:ascii="標楷體" w:eastAsia="標楷體" w:hAnsi="標楷體" w:cs="Times New Roman"/>
          <w:b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b/>
          <w:spacing w:val="-14"/>
          <w:sz w:val="28"/>
          <w:szCs w:val="28"/>
        </w:rPr>
        <w:t>改善作法：</w:t>
      </w:r>
    </w:p>
    <w:p w:rsidR="008D0AF9" w:rsidRPr="00774012" w:rsidRDefault="008D0AF9" w:rsidP="00BA3A03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1.參考法規：</w:t>
      </w:r>
    </w:p>
    <w:p w:rsidR="008D0AF9" w:rsidRPr="00774012" w:rsidRDefault="008D0AF9" w:rsidP="00BA3A03">
      <w:pPr>
        <w:spacing w:line="460" w:lineRule="exact"/>
        <w:ind w:leftChars="308" w:left="742" w:hangingChars="1" w:hanging="3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/>
          <w:spacing w:val="-14"/>
          <w:sz w:val="28"/>
          <w:szCs w:val="28"/>
        </w:rPr>
        <w:t>信用合作社資產評估損失準備提列及逾期放款催收款呆帳處理辦法</w:t>
      </w: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。</w:t>
      </w:r>
    </w:p>
    <w:p w:rsidR="008D0AF9" w:rsidRPr="00774012" w:rsidRDefault="008D0AF9" w:rsidP="00BA3A03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2.依規定填報並落實複核機制。</w:t>
      </w:r>
    </w:p>
    <w:p w:rsidR="008D0AF9" w:rsidRPr="00774012" w:rsidRDefault="008D0AF9" w:rsidP="00BA3A03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3.內部稽核將申報資料正確性列為查核重點。</w:t>
      </w:r>
    </w:p>
    <w:p w:rsidR="00431CC5" w:rsidRPr="00774012" w:rsidRDefault="00431CC5" w:rsidP="00431CC5">
      <w:pPr>
        <w:rPr>
          <w:rFonts w:ascii="標楷體" w:eastAsia="標楷體" w:hAnsi="標楷體"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31CC5" w:rsidRPr="006076CC" w:rsidTr="00BA3A03">
        <w:trPr>
          <w:trHeight w:val="589"/>
        </w:trPr>
        <w:tc>
          <w:tcPr>
            <w:tcW w:w="8372" w:type="dxa"/>
          </w:tcPr>
          <w:p w:rsidR="008D0AF9" w:rsidRPr="006076CC" w:rsidRDefault="00DF287D" w:rsidP="008D0AF9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態樣二：</w:t>
            </w:r>
            <w:r w:rsidR="008D0AF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資本適足率</w:t>
            </w:r>
            <w:r w:rsidR="00673E24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申報有</w:t>
            </w:r>
            <w:r w:rsidR="008D0AF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誤</w:t>
            </w:r>
            <w:r w:rsidR="00673E24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差</w:t>
            </w:r>
            <w:r w:rsidR="008D0AF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：  </w:t>
            </w:r>
          </w:p>
          <w:p w:rsidR="00D20D79" w:rsidRPr="006076CC" w:rsidRDefault="00D20D79" w:rsidP="00D20D79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1.放款預期損失率計算錯誤，</w:t>
            </w:r>
            <w:proofErr w:type="gramStart"/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致應列入</w:t>
            </w:r>
            <w:proofErr w:type="gramEnd"/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風險性資產計算</w:t>
            </w:r>
            <w:proofErr w:type="gramStart"/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之暴險總額</w:t>
            </w:r>
            <w:proofErr w:type="gramEnd"/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少列。</w:t>
            </w:r>
          </w:p>
          <w:p w:rsidR="00870DEF" w:rsidRPr="006076CC" w:rsidRDefault="00D20D79" w:rsidP="00870DEF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="00870DEF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合格零售債權（風險權數75％）、非合格零售債權（風險權數100％）及其應收利息，誤列為合格住宅抵押貸款</w:t>
            </w:r>
            <w:r w:rsidR="00870DEF" w:rsidRPr="006076CC">
              <w:rPr>
                <w:rFonts w:ascii="標楷體" w:eastAsia="標楷體" w:hAnsi="標楷體"/>
                <w:b/>
                <w:sz w:val="28"/>
                <w:szCs w:val="28"/>
              </w:rPr>
              <w:t>（</w:t>
            </w:r>
            <w:r w:rsidR="00870DEF" w:rsidRPr="006076CC">
              <w:rPr>
                <w:rFonts w:eastAsia="標楷體" w:hAnsi="標楷體"/>
                <w:b/>
                <w:sz w:val="28"/>
                <w:szCs w:val="28"/>
              </w:rPr>
              <w:t>風險權數</w:t>
            </w:r>
            <w:r w:rsidR="00870DEF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45%</w:t>
            </w:r>
            <w:r w:rsidR="00870DEF" w:rsidRPr="006076CC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  <w:r w:rsidR="00870DEF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D20D79" w:rsidRPr="006076CC" w:rsidRDefault="00870DEF" w:rsidP="00D20D79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3.</w:t>
            </w:r>
            <w:r w:rsidR="00D20D7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非屬「提供本人、配偶或未成年人子女所購(所有)之住宅」為擔保之購建住宅及房屋裝修貸款，誤列入「合格住宅</w:t>
            </w:r>
            <w:r w:rsidR="00D20D79" w:rsidRPr="006076CC">
              <w:rPr>
                <w:rFonts w:ascii="標楷體" w:eastAsia="標楷體" w:hAnsi="標楷體"/>
                <w:b/>
                <w:sz w:val="28"/>
                <w:szCs w:val="28"/>
              </w:rPr>
              <w:t>抵押貸款」（</w:t>
            </w:r>
            <w:r w:rsidR="00D20D79" w:rsidRPr="006076CC">
              <w:rPr>
                <w:rFonts w:eastAsia="標楷體" w:hAnsi="標楷體"/>
                <w:b/>
                <w:sz w:val="28"/>
                <w:szCs w:val="28"/>
              </w:rPr>
              <w:t>風險權數</w:t>
            </w:r>
            <w:r w:rsidR="00D20D7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45%</w:t>
            </w:r>
            <w:r w:rsidR="00D20D79" w:rsidRPr="006076CC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  <w:r w:rsidR="00D20D7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D20D79" w:rsidRPr="006076CC" w:rsidRDefault="00BA3A03" w:rsidP="00D20D79">
            <w:pPr>
              <w:spacing w:line="460" w:lineRule="exact"/>
              <w:ind w:left="1410" w:hanging="276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D20D7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D20D79" w:rsidRPr="006076CC">
              <w:rPr>
                <w:rFonts w:eastAsia="標楷體" w:hAnsi="標楷體"/>
                <w:b/>
                <w:sz w:val="28"/>
              </w:rPr>
              <w:t>中小企業</w:t>
            </w:r>
            <w:r w:rsidR="00D20D79" w:rsidRPr="006076CC">
              <w:rPr>
                <w:rFonts w:ascii="標楷體" w:eastAsia="標楷體" w:hAnsi="標楷體"/>
                <w:b/>
                <w:sz w:val="28"/>
                <w:szCs w:val="28"/>
              </w:rPr>
              <w:t>信用</w:t>
            </w:r>
            <w:r w:rsidR="00D20D79" w:rsidRPr="006076CC">
              <w:rPr>
                <w:rFonts w:eastAsia="標楷體" w:hAnsi="標楷體"/>
                <w:b/>
                <w:sz w:val="28"/>
              </w:rPr>
              <w:t>保證基金</w:t>
            </w:r>
            <w:r w:rsidR="00D20D79" w:rsidRPr="006076CC">
              <w:rPr>
                <w:rFonts w:eastAsia="標楷體" w:hAnsi="標楷體"/>
                <w:b/>
                <w:sz w:val="28"/>
                <w:szCs w:val="28"/>
              </w:rPr>
              <w:t>保證債權：</w:t>
            </w:r>
          </w:p>
          <w:p w:rsidR="00D20D79" w:rsidRPr="006076CC" w:rsidRDefault="00D20D79" w:rsidP="00D20D79">
            <w:pPr>
              <w:spacing w:line="460" w:lineRule="exact"/>
              <w:ind w:left="1684" w:hanging="443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(1)</w:t>
            </w:r>
            <w:r w:rsidRPr="006076CC">
              <w:rPr>
                <w:rFonts w:eastAsia="標楷體" w:hAnsi="標楷體"/>
                <w:b/>
                <w:sz w:val="28"/>
                <w:szCs w:val="28"/>
              </w:rPr>
              <w:t>對</w:t>
            </w:r>
            <w:r w:rsidR="006076CC">
              <w:rPr>
                <w:rFonts w:eastAsia="標楷體" w:hAnsi="標楷體" w:hint="eastAsia"/>
                <w:b/>
                <w:sz w:val="28"/>
                <w:szCs w:val="28"/>
              </w:rPr>
              <w:t>非</w:t>
            </w:r>
            <w:r w:rsidRPr="006076CC">
              <w:rPr>
                <w:rFonts w:eastAsia="標楷體" w:hAnsi="標楷體"/>
                <w:b/>
                <w:sz w:val="28"/>
                <w:szCs w:val="28"/>
              </w:rPr>
              <w:t>屬</w:t>
            </w: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信用</w:t>
            </w:r>
            <w:r w:rsidRPr="006076CC">
              <w:rPr>
                <w:rFonts w:eastAsia="標楷體" w:hAnsi="標楷體" w:hint="eastAsia"/>
                <w:b/>
                <w:sz w:val="28"/>
                <w:szCs w:val="28"/>
              </w:rPr>
              <w:t>保證基金</w:t>
            </w:r>
            <w:r w:rsidRPr="006076CC">
              <w:rPr>
                <w:rFonts w:eastAsia="標楷體" w:hAnsi="標楷體"/>
                <w:b/>
                <w:sz w:val="28"/>
                <w:szCs w:val="28"/>
              </w:rPr>
              <w:t>保證成數內之債權，誤適用</w:t>
            </w:r>
            <w:r w:rsidRPr="006076CC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Pr="006076CC">
              <w:rPr>
                <w:rFonts w:eastAsia="標楷體" w:hAnsi="標楷體"/>
                <w:b/>
                <w:sz w:val="28"/>
                <w:szCs w:val="28"/>
              </w:rPr>
              <w:lastRenderedPageBreak/>
              <w:t>風險權數</w:t>
            </w:r>
            <w:r w:rsidRPr="006076CC">
              <w:rPr>
                <w:rFonts w:eastAsia="標楷體" w:hAnsi="標楷體" w:hint="eastAsia"/>
                <w:b/>
                <w:sz w:val="28"/>
                <w:szCs w:val="28"/>
              </w:rPr>
              <w:t>。</w:t>
            </w:r>
          </w:p>
          <w:p w:rsidR="00D20D79" w:rsidRPr="006076CC" w:rsidRDefault="00D20D79" w:rsidP="00D20D79">
            <w:pPr>
              <w:spacing w:line="460" w:lineRule="exact"/>
              <w:ind w:left="1684" w:hanging="443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(2)</w:t>
            </w:r>
            <w:r w:rsidRPr="006076CC">
              <w:rPr>
                <w:rFonts w:eastAsia="標楷體" w:hAnsi="標楷體"/>
                <w:b/>
                <w:sz w:val="28"/>
                <w:szCs w:val="28"/>
              </w:rPr>
              <w:t>填報表內交易之信用風險加權風險性資產額計算表</w:t>
            </w:r>
            <w:r w:rsidRPr="006076CC">
              <w:rPr>
                <w:rFonts w:eastAsia="標楷體"/>
                <w:b/>
                <w:sz w:val="28"/>
                <w:szCs w:val="28"/>
              </w:rPr>
              <w:t>(</w:t>
            </w:r>
            <w:r w:rsidRPr="006076CC">
              <w:rPr>
                <w:rFonts w:eastAsia="標楷體" w:hAnsi="標楷體"/>
                <w:b/>
                <w:sz w:val="28"/>
                <w:szCs w:val="28"/>
              </w:rPr>
              <w:t>表</w:t>
            </w:r>
            <w:r w:rsidRPr="006076CC">
              <w:rPr>
                <w:rFonts w:eastAsia="標楷體"/>
                <w:b/>
                <w:sz w:val="28"/>
                <w:szCs w:val="28"/>
              </w:rPr>
              <w:t>2-C)</w:t>
            </w:r>
            <w:r w:rsidRPr="006076CC">
              <w:rPr>
                <w:rFonts w:eastAsia="標楷體" w:hAnsi="標楷體" w:hint="eastAsia"/>
                <w:b/>
                <w:sz w:val="28"/>
                <w:szCs w:val="28"/>
              </w:rPr>
              <w:t>時</w:t>
            </w:r>
            <w:r w:rsidRPr="006076CC">
              <w:rPr>
                <w:rFonts w:eastAsia="標楷體" w:hAnsi="標楷體"/>
                <w:b/>
                <w:sz w:val="28"/>
                <w:szCs w:val="28"/>
              </w:rPr>
              <w:t>，</w:t>
            </w:r>
            <w:r w:rsidRPr="006076CC">
              <w:rPr>
                <w:rFonts w:eastAsia="標楷體" w:hAnsi="標楷體" w:hint="eastAsia"/>
                <w:b/>
                <w:sz w:val="28"/>
                <w:szCs w:val="28"/>
              </w:rPr>
              <w:t>未確實將</w:t>
            </w:r>
            <w:r w:rsidRPr="006076CC">
              <w:rPr>
                <w:rFonts w:eastAsia="標楷體" w:hAnsi="標楷體"/>
                <w:b/>
                <w:sz w:val="28"/>
                <w:szCs w:val="28"/>
              </w:rPr>
              <w:t>原始</w:t>
            </w:r>
            <w:proofErr w:type="gramStart"/>
            <w:r w:rsidRPr="006076CC">
              <w:rPr>
                <w:rFonts w:eastAsia="標楷體" w:hAnsi="標楷體"/>
                <w:b/>
                <w:sz w:val="28"/>
                <w:szCs w:val="28"/>
              </w:rPr>
              <w:t>暴險額</w:t>
            </w:r>
            <w:proofErr w:type="gramEnd"/>
            <w:r w:rsidRPr="006076CC">
              <w:rPr>
                <w:rFonts w:eastAsia="標楷體" w:hAnsi="標楷體"/>
                <w:b/>
                <w:sz w:val="28"/>
                <w:szCs w:val="28"/>
              </w:rPr>
              <w:t>及考慮信用保障後</w:t>
            </w:r>
            <w:proofErr w:type="gramStart"/>
            <w:r w:rsidRPr="006076CC">
              <w:rPr>
                <w:rFonts w:eastAsia="標楷體" w:hAnsi="標楷體"/>
                <w:b/>
                <w:sz w:val="28"/>
                <w:szCs w:val="28"/>
              </w:rPr>
              <w:t>暴險額</w:t>
            </w:r>
            <w:proofErr w:type="gramEnd"/>
            <w:r w:rsidRPr="006076CC">
              <w:rPr>
                <w:rFonts w:eastAsia="標楷體" w:hAnsi="標楷體"/>
                <w:b/>
                <w:sz w:val="28"/>
                <w:szCs w:val="28"/>
              </w:rPr>
              <w:t>分別對應</w:t>
            </w:r>
            <w:r w:rsidRPr="006076CC">
              <w:rPr>
                <w:rFonts w:eastAsia="標楷體" w:hAnsi="標楷體" w:hint="eastAsia"/>
                <w:b/>
                <w:sz w:val="28"/>
                <w:szCs w:val="28"/>
              </w:rPr>
              <w:t>其</w:t>
            </w:r>
            <w:r w:rsidRPr="006076CC">
              <w:rPr>
                <w:rFonts w:eastAsia="標楷體" w:hAnsi="標楷體"/>
                <w:b/>
                <w:sz w:val="28"/>
                <w:szCs w:val="28"/>
              </w:rPr>
              <w:t>交易對手及信用保障提供人所</w:t>
            </w:r>
            <w:r w:rsidRPr="006076CC">
              <w:rPr>
                <w:rFonts w:eastAsia="標楷體" w:hAnsi="標楷體" w:hint="eastAsia"/>
                <w:b/>
                <w:sz w:val="28"/>
                <w:szCs w:val="28"/>
              </w:rPr>
              <w:t>適用之</w:t>
            </w:r>
            <w:r w:rsidRPr="006076CC">
              <w:rPr>
                <w:rFonts w:eastAsia="標楷體" w:hAnsi="標楷體"/>
                <w:b/>
                <w:sz w:val="28"/>
                <w:szCs w:val="28"/>
              </w:rPr>
              <w:t>風險權數</w:t>
            </w:r>
            <w:r w:rsidRPr="006076CC">
              <w:rPr>
                <w:rFonts w:eastAsia="標楷體" w:hAnsi="標楷體" w:hint="eastAsia"/>
                <w:b/>
                <w:sz w:val="28"/>
                <w:szCs w:val="28"/>
              </w:rPr>
              <w:t>。</w:t>
            </w:r>
          </w:p>
          <w:p w:rsidR="00D20D79" w:rsidRPr="006076CC" w:rsidRDefault="00BA3A03" w:rsidP="00D20D79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D20D7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.對屬「銀行短期債權」之存放同業活期性存款(適用風險權數20%)，誤</w:t>
            </w:r>
            <w:r w:rsidR="00D20D79" w:rsidRPr="006076CC">
              <w:rPr>
                <w:rFonts w:ascii="標楷體" w:eastAsia="標楷體" w:hAnsi="標楷體"/>
                <w:b/>
                <w:sz w:val="28"/>
                <w:szCs w:val="28"/>
              </w:rPr>
              <w:t>列</w:t>
            </w:r>
            <w:r w:rsidR="00D20D7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入</w:t>
            </w:r>
            <w:r w:rsidR="00D20D79" w:rsidRPr="006076CC">
              <w:rPr>
                <w:rFonts w:ascii="標楷體" w:eastAsia="標楷體" w:hAnsi="標楷體"/>
                <w:b/>
                <w:sz w:val="28"/>
                <w:szCs w:val="28"/>
              </w:rPr>
              <w:t>風險權數</w:t>
            </w:r>
            <w:r w:rsidR="00D20D7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50%</w:t>
            </w:r>
            <w:r w:rsidR="00D20D79" w:rsidRPr="006076CC">
              <w:rPr>
                <w:rFonts w:ascii="標楷體" w:eastAsia="標楷體" w:hAnsi="標楷體"/>
                <w:b/>
                <w:sz w:val="28"/>
                <w:szCs w:val="28"/>
              </w:rPr>
              <w:t>之「銀行債權」。</w:t>
            </w:r>
          </w:p>
          <w:p w:rsidR="00D20D79" w:rsidRPr="006076CC" w:rsidRDefault="00BA3A03" w:rsidP="00D20D79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D20D7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D20D79" w:rsidRPr="006076CC">
              <w:rPr>
                <w:rFonts w:ascii="標楷體" w:eastAsia="標楷體" w:hAnsi="標楷體"/>
                <w:b/>
                <w:sz w:val="28"/>
                <w:szCs w:val="28"/>
              </w:rPr>
              <w:t>作業風險加權風險性資產</w:t>
            </w:r>
            <w:r w:rsidR="00D20D7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，漏未計入當年度</w:t>
            </w:r>
            <w:r w:rsidR="00D20D79" w:rsidRPr="006076CC">
              <w:rPr>
                <w:rFonts w:ascii="標楷體" w:eastAsia="標楷體" w:hAnsi="標楷體"/>
                <w:b/>
                <w:sz w:val="28"/>
                <w:szCs w:val="28"/>
              </w:rPr>
              <w:t>到期之</w:t>
            </w:r>
            <w:r w:rsidR="00D20D7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持有至到期日金融資產利息收入。</w:t>
            </w:r>
          </w:p>
          <w:p w:rsidR="00E66021" w:rsidRPr="006076CC" w:rsidRDefault="00BA3A03" w:rsidP="00E66021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="00E66021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.作業風險加權風險性資產，漏列備供出售金融資產股息紅利收入。</w:t>
            </w:r>
          </w:p>
          <w:p w:rsidR="00D20D79" w:rsidRPr="006076CC" w:rsidRDefault="00BA3A03" w:rsidP="00D20D79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D20D7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.誤將屬</w:t>
            </w:r>
            <w:r w:rsidR="00D20D79" w:rsidRPr="006076CC">
              <w:rPr>
                <w:rFonts w:eastAsia="標楷體" w:hAnsi="標楷體"/>
                <w:b/>
                <w:sz w:val="28"/>
                <w:szCs w:val="28"/>
              </w:rPr>
              <w:t>「主權國家</w:t>
            </w:r>
            <w:r w:rsidR="00D20D79" w:rsidRPr="006076CC">
              <w:rPr>
                <w:rFonts w:ascii="標楷體" w:eastAsia="標楷體" w:hAnsi="標楷體"/>
                <w:b/>
                <w:sz w:val="28"/>
                <w:szCs w:val="28"/>
              </w:rPr>
              <w:t>債權」</w:t>
            </w:r>
            <w:r w:rsidR="00D20D7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之</w:t>
            </w:r>
            <w:r w:rsidR="00D20D79" w:rsidRPr="006076CC">
              <w:rPr>
                <w:rFonts w:ascii="標楷體" w:eastAsia="標楷體" w:hAnsi="標楷體"/>
                <w:b/>
                <w:sz w:val="28"/>
                <w:szCs w:val="28"/>
              </w:rPr>
              <w:t>「存款準備金乙戶-應收利息」（風險權數</w:t>
            </w:r>
            <w:r w:rsidR="00D20D7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0%</w:t>
            </w:r>
            <w:r w:rsidR="00D20D79" w:rsidRPr="006076CC">
              <w:rPr>
                <w:rFonts w:ascii="標楷體" w:eastAsia="標楷體" w:hAnsi="標楷體"/>
                <w:b/>
                <w:sz w:val="28"/>
                <w:szCs w:val="28"/>
              </w:rPr>
              <w:t>）誤列為「銀行債權」（風險權數</w:t>
            </w:r>
            <w:r w:rsidR="00D20D7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20%</w:t>
            </w:r>
            <w:r w:rsidR="00D20D79" w:rsidRPr="006076CC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  <w:r w:rsidR="00D20D79" w:rsidRPr="006076CC">
              <w:rPr>
                <w:rFonts w:eastAsia="標楷體" w:hAnsi="標楷體" w:hint="eastAsia"/>
                <w:b/>
                <w:sz w:val="28"/>
                <w:szCs w:val="28"/>
              </w:rPr>
              <w:t>。</w:t>
            </w:r>
          </w:p>
          <w:p w:rsidR="00D20D79" w:rsidRPr="006076CC" w:rsidRDefault="00BA3A03" w:rsidP="00D20D79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="00D20D7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.可取消之承諾(約定融資額度)未列入資產負債表</w:t>
            </w:r>
            <w:proofErr w:type="gramStart"/>
            <w:r w:rsidR="00D20D7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表</w:t>
            </w:r>
            <w:proofErr w:type="gramEnd"/>
            <w:r w:rsidR="00D20D7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外資產項目(FI2011)及</w:t>
            </w:r>
            <w:r w:rsidR="00D20D79" w:rsidRPr="006076CC">
              <w:rPr>
                <w:rFonts w:eastAsia="標楷體" w:hAnsi="標楷體"/>
                <w:b/>
                <w:sz w:val="28"/>
                <w:szCs w:val="28"/>
              </w:rPr>
              <w:t>「表外項目</w:t>
            </w:r>
            <w:r w:rsidR="00D20D79" w:rsidRPr="006076CC">
              <w:rPr>
                <w:rFonts w:eastAsia="標楷體"/>
                <w:b/>
                <w:sz w:val="28"/>
                <w:szCs w:val="28"/>
              </w:rPr>
              <w:t>-</w:t>
            </w:r>
            <w:r w:rsidR="00D20D79" w:rsidRPr="006076CC">
              <w:rPr>
                <w:rFonts w:eastAsia="標楷體" w:hAnsi="標楷體"/>
                <w:b/>
                <w:sz w:val="28"/>
                <w:szCs w:val="28"/>
              </w:rPr>
              <w:t>一般表外交易之信用風險信用相當額計算表</w:t>
            </w:r>
            <w:r w:rsidR="00D20D79" w:rsidRPr="006076CC">
              <w:rPr>
                <w:rFonts w:eastAsia="標楷體"/>
                <w:b/>
                <w:sz w:val="28"/>
                <w:szCs w:val="28"/>
              </w:rPr>
              <w:t>(</w:t>
            </w:r>
            <w:r w:rsidR="00D20D79" w:rsidRPr="006076CC">
              <w:rPr>
                <w:rFonts w:eastAsia="標楷體" w:hAnsi="標楷體"/>
                <w:b/>
                <w:sz w:val="28"/>
                <w:szCs w:val="28"/>
              </w:rPr>
              <w:t>表</w:t>
            </w:r>
            <w:r w:rsidR="00D20D79" w:rsidRPr="006076CC">
              <w:rPr>
                <w:rFonts w:eastAsia="標楷體"/>
                <w:b/>
                <w:sz w:val="28"/>
                <w:szCs w:val="28"/>
              </w:rPr>
              <w:t>2-D1)</w:t>
            </w:r>
            <w:r w:rsidR="00D20D79" w:rsidRPr="006076CC">
              <w:rPr>
                <w:rFonts w:eastAsia="標楷體" w:hAnsi="標楷體"/>
                <w:b/>
                <w:sz w:val="28"/>
                <w:szCs w:val="28"/>
              </w:rPr>
              <w:t>」</w:t>
            </w:r>
            <w:r w:rsidR="00D20D7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填報。</w:t>
            </w:r>
          </w:p>
          <w:p w:rsidR="00D20D79" w:rsidRPr="006076CC" w:rsidRDefault="00BA3A03" w:rsidP="00BA3A03">
            <w:pPr>
              <w:spacing w:line="460" w:lineRule="exact"/>
              <w:ind w:left="1410" w:hanging="42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D20D7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D20D79" w:rsidRPr="006076CC">
              <w:rPr>
                <w:rFonts w:ascii="標楷體" w:eastAsia="標楷體" w:hAnsi="標楷體"/>
                <w:b/>
                <w:sz w:val="28"/>
                <w:szCs w:val="28"/>
              </w:rPr>
              <w:t>票債券附買回及附賣回交易對手信用風險</w:t>
            </w:r>
            <w:proofErr w:type="gramStart"/>
            <w:r w:rsidR="00D20D79" w:rsidRPr="006076CC">
              <w:rPr>
                <w:rFonts w:ascii="標楷體" w:eastAsia="標楷體" w:hAnsi="標楷體"/>
                <w:b/>
                <w:sz w:val="28"/>
                <w:szCs w:val="28"/>
              </w:rPr>
              <w:t>暴險額</w:t>
            </w:r>
            <w:proofErr w:type="gramEnd"/>
            <w:r w:rsidR="00D20D79" w:rsidRPr="006076CC">
              <w:rPr>
                <w:rFonts w:ascii="標楷體" w:eastAsia="標楷體" w:hAnsi="標楷體"/>
                <w:b/>
                <w:sz w:val="28"/>
                <w:szCs w:val="28"/>
              </w:rPr>
              <w:t>或違約</w:t>
            </w:r>
            <w:proofErr w:type="gramStart"/>
            <w:r w:rsidR="00D20D79" w:rsidRPr="006076CC">
              <w:rPr>
                <w:rFonts w:ascii="標楷體" w:eastAsia="標楷體" w:hAnsi="標楷體"/>
                <w:b/>
                <w:sz w:val="28"/>
                <w:szCs w:val="28"/>
              </w:rPr>
              <w:t>暴險額</w:t>
            </w:r>
            <w:proofErr w:type="gramEnd"/>
            <w:r w:rsidR="00D20D79" w:rsidRPr="006076CC">
              <w:rPr>
                <w:rFonts w:ascii="標楷體" w:eastAsia="標楷體" w:hAnsi="標楷體"/>
                <w:b/>
                <w:sz w:val="28"/>
                <w:szCs w:val="28"/>
              </w:rPr>
              <w:t>計算表(表2-E1)風險抵減</w:t>
            </w:r>
            <w:proofErr w:type="gramStart"/>
            <w:r w:rsidR="00D20D79" w:rsidRPr="006076CC">
              <w:rPr>
                <w:rFonts w:ascii="標楷體" w:eastAsia="標楷體" w:hAnsi="標楷體"/>
                <w:b/>
                <w:sz w:val="28"/>
                <w:szCs w:val="28"/>
              </w:rPr>
              <w:t>前暴險額</w:t>
            </w:r>
            <w:proofErr w:type="gramEnd"/>
            <w:r w:rsidR="00D20D7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，未依規定</w:t>
            </w:r>
            <w:r w:rsidR="00D20D79" w:rsidRPr="006076CC">
              <w:rPr>
                <w:rFonts w:ascii="標楷體" w:eastAsia="標楷體" w:hAnsi="標楷體"/>
                <w:b/>
                <w:sz w:val="28"/>
                <w:szCs w:val="28"/>
              </w:rPr>
              <w:t>以「</w:t>
            </w:r>
            <w:proofErr w:type="gramStart"/>
            <w:r w:rsidR="00D20D79" w:rsidRPr="006076CC">
              <w:rPr>
                <w:rFonts w:ascii="標楷體" w:eastAsia="標楷體" w:hAnsi="標楷體"/>
                <w:b/>
                <w:sz w:val="28"/>
                <w:szCs w:val="28"/>
              </w:rPr>
              <w:t>暴險部位</w:t>
            </w:r>
            <w:proofErr w:type="gramEnd"/>
            <w:r w:rsidR="00D20D79" w:rsidRPr="006076CC">
              <w:rPr>
                <w:rFonts w:ascii="標楷體" w:eastAsia="標楷體" w:hAnsi="標楷體"/>
                <w:b/>
                <w:sz w:val="28"/>
                <w:szCs w:val="28"/>
              </w:rPr>
              <w:t>之現值x(1+</w:t>
            </w:r>
            <w:proofErr w:type="gramStart"/>
            <w:r w:rsidR="00D20D79" w:rsidRPr="006076CC">
              <w:rPr>
                <w:rFonts w:ascii="標楷體" w:eastAsia="標楷體" w:hAnsi="標楷體"/>
                <w:b/>
                <w:sz w:val="28"/>
                <w:szCs w:val="28"/>
              </w:rPr>
              <w:t>暴險部位</w:t>
            </w:r>
            <w:proofErr w:type="gramEnd"/>
            <w:r w:rsidR="00D20D79" w:rsidRPr="006076CC">
              <w:rPr>
                <w:rFonts w:ascii="標楷體" w:eastAsia="標楷體" w:hAnsi="標楷體"/>
                <w:b/>
                <w:sz w:val="28"/>
                <w:szCs w:val="28"/>
              </w:rPr>
              <w:t>之折扣比率)」填報</w:t>
            </w:r>
            <w:r w:rsidR="00D20D7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D20D79" w:rsidRPr="006076CC" w:rsidRDefault="00BA3A03" w:rsidP="00BA3A03">
            <w:pPr>
              <w:spacing w:line="460" w:lineRule="exact"/>
              <w:ind w:left="1410" w:hanging="42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D20D7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.收回已自以前年度營業毛利扣除之款項(代墊支存戶退票違約金)，漏未於收回年度納入營業毛利計算，致作業風險加權風險性資產少列。</w:t>
            </w:r>
          </w:p>
          <w:p w:rsidR="00D20D79" w:rsidRPr="006076CC" w:rsidRDefault="00D20D79" w:rsidP="00D20D79">
            <w:pPr>
              <w:spacing w:line="460" w:lineRule="exact"/>
              <w:ind w:left="1410" w:hanging="42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BA3A03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Pr="006076CC">
              <w:rPr>
                <w:rFonts w:eastAsia="標楷體" w:hAnsi="標楷體"/>
                <w:b/>
                <w:sz w:val="28"/>
                <w:szCs w:val="28"/>
              </w:rPr>
              <w:t>漏</w:t>
            </w:r>
            <w:r w:rsidRPr="006076CC">
              <w:rPr>
                <w:rFonts w:eastAsia="標楷體" w:hAnsi="標楷體"/>
                <w:b/>
                <w:bCs/>
                <w:sz w:val="28"/>
                <w:szCs w:val="28"/>
              </w:rPr>
              <w:t>未依規定將</w:t>
            </w:r>
            <w:r w:rsidRPr="006076CC">
              <w:rPr>
                <w:rFonts w:eastAsia="標楷體" w:hAnsi="標楷體"/>
                <w:b/>
                <w:sz w:val="28"/>
                <w:szCs w:val="28"/>
              </w:rPr>
              <w:t>附買回條件交易</w:t>
            </w:r>
            <w:r w:rsidRPr="006076CC">
              <w:rPr>
                <w:rFonts w:eastAsia="標楷體"/>
                <w:b/>
                <w:sz w:val="28"/>
                <w:szCs w:val="28"/>
              </w:rPr>
              <w:t>(RP)</w:t>
            </w:r>
            <w:r w:rsidRPr="006076CC">
              <w:rPr>
                <w:rFonts w:eastAsia="標楷體" w:hAnsi="標楷體"/>
                <w:b/>
                <w:bCs/>
                <w:sz w:val="28"/>
                <w:szCs w:val="28"/>
              </w:rPr>
              <w:t>列入交易</w:t>
            </w:r>
            <w:proofErr w:type="gramStart"/>
            <w:r w:rsidRPr="006076CC">
              <w:rPr>
                <w:rFonts w:eastAsia="標楷體" w:hAnsi="標楷體"/>
                <w:b/>
                <w:bCs/>
                <w:sz w:val="28"/>
                <w:szCs w:val="28"/>
              </w:rPr>
              <w:t>簿</w:t>
            </w:r>
            <w:proofErr w:type="gramEnd"/>
            <w:r w:rsidRPr="006076CC">
              <w:rPr>
                <w:rFonts w:eastAsia="標楷體" w:hAnsi="標楷體"/>
                <w:b/>
                <w:bCs/>
                <w:sz w:val="28"/>
                <w:szCs w:val="28"/>
              </w:rPr>
              <w:t>計算</w:t>
            </w:r>
            <w:r w:rsidRPr="006076CC">
              <w:rPr>
                <w:rFonts w:eastAsia="標楷體" w:hAnsi="標楷體"/>
                <w:b/>
                <w:sz w:val="28"/>
                <w:szCs w:val="28"/>
              </w:rPr>
              <w:t>一般</w:t>
            </w:r>
            <w:r w:rsidRPr="006076CC">
              <w:rPr>
                <w:rFonts w:eastAsia="標楷體" w:hAnsi="標楷體"/>
                <w:b/>
                <w:bCs/>
                <w:sz w:val="28"/>
                <w:szCs w:val="28"/>
              </w:rPr>
              <w:t>市場風險，</w:t>
            </w:r>
            <w:r w:rsidRPr="006076CC">
              <w:rPr>
                <w:rFonts w:eastAsia="標楷體" w:hAnsi="標楷體"/>
                <w:b/>
                <w:sz w:val="28"/>
                <w:szCs w:val="28"/>
              </w:rPr>
              <w:t>致市場風險性資產</w:t>
            </w:r>
            <w:r w:rsidRPr="006076CC">
              <w:rPr>
                <w:rFonts w:eastAsia="標楷體" w:hAnsi="標楷體" w:hint="eastAsia"/>
                <w:b/>
                <w:sz w:val="28"/>
                <w:szCs w:val="28"/>
              </w:rPr>
              <w:t>少列。</w:t>
            </w:r>
          </w:p>
          <w:p w:rsidR="00D20D79" w:rsidRPr="006076CC" w:rsidRDefault="00D20D79" w:rsidP="00D20D79">
            <w:pPr>
              <w:spacing w:line="460" w:lineRule="exact"/>
              <w:ind w:left="1410" w:hanging="42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BA3A03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.申報</w:t>
            </w:r>
            <w:r w:rsidRPr="006076CC">
              <w:rPr>
                <w:rFonts w:eastAsia="標楷體" w:hAnsi="標楷體" w:hint="eastAsia"/>
                <w:b/>
                <w:bCs/>
                <w:sz w:val="28"/>
                <w:szCs w:val="28"/>
              </w:rPr>
              <w:t>權益</w:t>
            </w: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證券商品之評價資料及計算外匯風險之即期匯率均採用鉅亨網資訊，宜採較具公信力之資訊。</w:t>
            </w:r>
          </w:p>
          <w:p w:rsidR="00D20D79" w:rsidRPr="006076CC" w:rsidRDefault="00D20D79" w:rsidP="00D20D79">
            <w:pPr>
              <w:spacing w:line="460" w:lineRule="exact"/>
              <w:ind w:left="1410" w:hanging="42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BA3A03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Pr="006076CC">
              <w:rPr>
                <w:rFonts w:eastAsia="標楷體" w:hAnsi="標楷體"/>
                <w:b/>
                <w:bCs/>
                <w:sz w:val="28"/>
                <w:szCs w:val="28"/>
              </w:rPr>
              <w:t>投資受益憑證</w:t>
            </w:r>
            <w:r w:rsidRPr="006076CC">
              <w:rPr>
                <w:rFonts w:eastAsia="標楷體" w:hint="eastAsia"/>
                <w:b/>
                <w:bCs/>
                <w:sz w:val="28"/>
                <w:szCs w:val="28"/>
              </w:rPr>
              <w:t>未確實依</w:t>
            </w:r>
            <w:r w:rsidRPr="006076CC">
              <w:rPr>
                <w:rFonts w:eastAsia="標楷體" w:hAnsi="標楷體"/>
                <w:b/>
                <w:bCs/>
                <w:sz w:val="28"/>
                <w:szCs w:val="28"/>
              </w:rPr>
              <w:t>國</w:t>
            </w:r>
            <w:r w:rsidRPr="006076CC">
              <w:rPr>
                <w:rFonts w:eastAsia="標楷體" w:hAnsi="標楷體" w:hint="eastAsia"/>
                <w:b/>
                <w:bCs/>
                <w:sz w:val="28"/>
                <w:szCs w:val="28"/>
              </w:rPr>
              <w:t>家</w:t>
            </w:r>
            <w:r w:rsidRPr="006076CC">
              <w:rPr>
                <w:rFonts w:eastAsia="標楷體" w:hAnsi="標楷體"/>
                <w:b/>
                <w:bCs/>
                <w:sz w:val="28"/>
                <w:szCs w:val="28"/>
              </w:rPr>
              <w:t>別計算</w:t>
            </w:r>
            <w:r w:rsidRPr="006076CC">
              <w:rPr>
                <w:rFonts w:eastAsia="標楷體" w:hAnsi="標楷體" w:hint="eastAsia"/>
                <w:b/>
                <w:bCs/>
                <w:sz w:val="28"/>
                <w:szCs w:val="28"/>
              </w:rPr>
              <w:t>權益證券風險。</w:t>
            </w:r>
          </w:p>
          <w:p w:rsidR="00D20D79" w:rsidRPr="006076CC" w:rsidRDefault="00D20D79" w:rsidP="00BA3A03">
            <w:pPr>
              <w:spacing w:line="460" w:lineRule="exact"/>
              <w:ind w:left="1410" w:hanging="42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BA3A03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.內部稽核未對遵循交易</w:t>
            </w:r>
            <w:proofErr w:type="gramStart"/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簿</w:t>
            </w:r>
            <w:proofErr w:type="gramEnd"/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相關政策與程序之執行情形進行定期查核。</w:t>
            </w:r>
          </w:p>
        </w:tc>
      </w:tr>
    </w:tbl>
    <w:p w:rsidR="00431CC5" w:rsidRPr="00774012" w:rsidRDefault="00431CC5" w:rsidP="00215FB1">
      <w:pPr>
        <w:spacing w:line="460" w:lineRule="exact"/>
        <w:ind w:leftChars="200" w:left="1756" w:hanging="1276"/>
        <w:rPr>
          <w:rFonts w:ascii="標楷體" w:eastAsia="標楷體" w:hAnsi="標楷體" w:cs="Times New Roman"/>
          <w:b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b/>
          <w:spacing w:val="-14"/>
          <w:sz w:val="28"/>
          <w:szCs w:val="28"/>
        </w:rPr>
        <w:lastRenderedPageBreak/>
        <w:t>改善作法：</w:t>
      </w:r>
    </w:p>
    <w:p w:rsidR="008D0AF9" w:rsidRPr="00774012" w:rsidRDefault="008D0AF9" w:rsidP="00215FB1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1.參考法規：</w:t>
      </w:r>
    </w:p>
    <w:p w:rsidR="008D0AF9" w:rsidRPr="00774012" w:rsidRDefault="008D0AF9" w:rsidP="00215FB1">
      <w:pPr>
        <w:spacing w:line="460" w:lineRule="exact"/>
        <w:ind w:leftChars="308" w:left="742" w:hangingChars="1" w:hanging="3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信用合作社</w:t>
      </w:r>
      <w:proofErr w:type="gramStart"/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採行新巴塞</w:t>
      </w:r>
      <w:proofErr w:type="gramEnd"/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爾資本協定簡易標準法自有資本與風險性資產計算方法說明。</w:t>
      </w:r>
    </w:p>
    <w:p w:rsidR="008D0AF9" w:rsidRPr="00774012" w:rsidRDefault="008D0AF9" w:rsidP="00215FB1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2.正確建檔並依規定填報及落實複核機制。</w:t>
      </w:r>
    </w:p>
    <w:p w:rsidR="008D0AF9" w:rsidRPr="00774012" w:rsidRDefault="008D0AF9" w:rsidP="00215FB1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3.內部稽核將申報資料正確性列為查核重點。</w:t>
      </w:r>
    </w:p>
    <w:p w:rsidR="00431CC5" w:rsidRPr="00774012" w:rsidRDefault="00431CC5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31CC5" w:rsidRPr="006076CC" w:rsidTr="007C0FE0">
        <w:trPr>
          <w:trHeight w:val="1613"/>
        </w:trPr>
        <w:tc>
          <w:tcPr>
            <w:tcW w:w="8372" w:type="dxa"/>
          </w:tcPr>
          <w:p w:rsidR="008D0AF9" w:rsidRPr="006076CC" w:rsidRDefault="00DF287D" w:rsidP="008D0AF9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proofErr w:type="gramStart"/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proofErr w:type="gramEnd"/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8D0AF9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建築貸款申報錯誤：</w:t>
            </w:r>
          </w:p>
          <w:p w:rsidR="008D0AF9" w:rsidRPr="006076CC" w:rsidRDefault="008D0AF9" w:rsidP="00DF287D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1.借戶屬建築業，</w:t>
            </w:r>
            <w:r w:rsidR="00542B27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未將</w:t>
            </w: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週轉金貸款或購地貸款列入申報。</w:t>
            </w:r>
          </w:p>
          <w:p w:rsidR="00BA3A03" w:rsidRPr="006076CC" w:rsidRDefault="008D0AF9" w:rsidP="007C0FE0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542B27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從事建築投資之個人購地貸款餘額</w:t>
            </w:r>
            <w:r w:rsidR="00542B27"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未</w:t>
            </w:r>
            <w:r w:rsidRPr="006076CC">
              <w:rPr>
                <w:rFonts w:ascii="標楷體" w:eastAsia="標楷體" w:hAnsi="標楷體" w:hint="eastAsia"/>
                <w:b/>
                <w:sz w:val="28"/>
                <w:szCs w:val="28"/>
              </w:rPr>
              <w:t>列入申報。</w:t>
            </w:r>
          </w:p>
        </w:tc>
      </w:tr>
    </w:tbl>
    <w:p w:rsidR="00431CC5" w:rsidRPr="00774012" w:rsidRDefault="00431CC5" w:rsidP="00392C4D">
      <w:pPr>
        <w:spacing w:line="460" w:lineRule="exact"/>
        <w:ind w:leftChars="200" w:left="1756" w:hanging="1276"/>
        <w:rPr>
          <w:rFonts w:ascii="標楷體" w:eastAsia="標楷體" w:hAnsi="標楷體" w:cs="Times New Roman"/>
          <w:b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b/>
          <w:spacing w:val="-14"/>
          <w:sz w:val="28"/>
          <w:szCs w:val="28"/>
        </w:rPr>
        <w:t>改善作法：</w:t>
      </w:r>
    </w:p>
    <w:p w:rsidR="008D0AF9" w:rsidRPr="00774012" w:rsidRDefault="008D0AF9" w:rsidP="00392C4D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1.參考法規：</w:t>
      </w:r>
    </w:p>
    <w:p w:rsidR="008D0AF9" w:rsidRPr="00774012" w:rsidRDefault="008D0AF9" w:rsidP="00392C4D">
      <w:pPr>
        <w:spacing w:line="460" w:lineRule="exact"/>
        <w:ind w:leftChars="295" w:left="1471" w:hanging="763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FI395信用合作社授信業務申報資料表填報說明之定義：</w:t>
      </w:r>
    </w:p>
    <w:p w:rsidR="008D0AF9" w:rsidRPr="00774012" w:rsidRDefault="008D0AF9" w:rsidP="009D14DA">
      <w:pPr>
        <w:spacing w:line="460" w:lineRule="exact"/>
        <w:ind w:leftChars="200" w:left="1036" w:hanging="55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（1）對建築業貸款，</w:t>
      </w:r>
      <w:r w:rsidRPr="00774012">
        <w:rPr>
          <w:rFonts w:ascii="標楷體" w:eastAsia="標楷體" w:hAnsi="標楷體" w:cs="Times New Roman"/>
          <w:spacing w:val="-14"/>
          <w:sz w:val="28"/>
          <w:szCs w:val="28"/>
        </w:rPr>
        <w:t>係指對以房屋興建投資為主要業務之企業承做之購地、興建房屋及週轉金貸款</w:t>
      </w: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。</w:t>
      </w:r>
    </w:p>
    <w:p w:rsidR="008D0AF9" w:rsidRPr="00774012" w:rsidRDefault="008D0AF9" w:rsidP="009D14DA">
      <w:pPr>
        <w:spacing w:line="460" w:lineRule="exact"/>
        <w:ind w:leftChars="200" w:left="1036" w:hanging="55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（2）對其他企業建築貸款，</w:t>
      </w:r>
      <w:r w:rsidRPr="00774012">
        <w:rPr>
          <w:rFonts w:ascii="標楷體" w:eastAsia="標楷體" w:hAnsi="標楷體" w:cs="Times New Roman"/>
          <w:spacing w:val="-14"/>
          <w:sz w:val="28"/>
          <w:szCs w:val="28"/>
        </w:rPr>
        <w:t>係指對建築業以外之企業所辦理之購地</w:t>
      </w: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及</w:t>
      </w:r>
      <w:r w:rsidRPr="00774012">
        <w:rPr>
          <w:rFonts w:ascii="標楷體" w:eastAsia="標楷體" w:hAnsi="標楷體" w:cs="Times New Roman"/>
          <w:spacing w:val="-14"/>
          <w:sz w:val="28"/>
          <w:szCs w:val="28"/>
        </w:rPr>
        <w:t>興建房屋貸款</w:t>
      </w: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。</w:t>
      </w:r>
    </w:p>
    <w:p w:rsidR="008D0AF9" w:rsidRPr="00774012" w:rsidRDefault="008D0AF9" w:rsidP="009D14DA">
      <w:pPr>
        <w:spacing w:line="460" w:lineRule="exact"/>
        <w:ind w:leftChars="200" w:left="1036" w:hanging="55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（3）對個人戶建築貸款，</w:t>
      </w:r>
      <w:r w:rsidRPr="00774012">
        <w:rPr>
          <w:rFonts w:ascii="標楷體" w:eastAsia="標楷體" w:hAnsi="標楷體" w:cs="Times New Roman"/>
          <w:spacing w:val="-14"/>
          <w:sz w:val="28"/>
          <w:szCs w:val="28"/>
        </w:rPr>
        <w:t>係指對從事建築投資之個人所辦理之購地</w:t>
      </w: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及</w:t>
      </w:r>
      <w:r w:rsidRPr="00774012">
        <w:rPr>
          <w:rFonts w:ascii="標楷體" w:eastAsia="標楷體" w:hAnsi="標楷體" w:cs="Times New Roman"/>
          <w:spacing w:val="-14"/>
          <w:sz w:val="28"/>
          <w:szCs w:val="28"/>
        </w:rPr>
        <w:t>興建房屋貸款。</w:t>
      </w:r>
    </w:p>
    <w:p w:rsidR="008D0AF9" w:rsidRPr="00774012" w:rsidRDefault="008D0AF9" w:rsidP="009D14DA">
      <w:pPr>
        <w:spacing w:line="460" w:lineRule="exact"/>
        <w:ind w:leftChars="200" w:left="1036" w:hanging="55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（4）其他</w:t>
      </w:r>
      <w:r w:rsidRPr="00774012">
        <w:rPr>
          <w:rFonts w:ascii="標楷體" w:eastAsia="標楷體" w:hAnsi="標楷體" w:cs="Times New Roman"/>
          <w:spacing w:val="-14"/>
          <w:sz w:val="28"/>
          <w:szCs w:val="28"/>
        </w:rPr>
        <w:t>建築貸款</w:t>
      </w: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（屬房屋興建屬自用部分）餘額。</w:t>
      </w:r>
    </w:p>
    <w:p w:rsidR="008D0AF9" w:rsidRPr="00774012" w:rsidRDefault="008D0AF9" w:rsidP="00392C4D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2.正確建檔並依規定填報及落實複核機制。</w:t>
      </w:r>
    </w:p>
    <w:p w:rsidR="008D0AF9" w:rsidRPr="00774012" w:rsidRDefault="008D0AF9" w:rsidP="00392C4D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3.內部稽核將申報資料正確性列為查核重點。</w:t>
      </w:r>
    </w:p>
    <w:sectPr w:rsidR="008D0AF9" w:rsidRPr="00774012" w:rsidSect="000B72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F81" w:rsidRDefault="00294F81" w:rsidP="00A42FFF">
      <w:r>
        <w:separator/>
      </w:r>
    </w:p>
  </w:endnote>
  <w:endnote w:type="continuationSeparator" w:id="0">
    <w:p w:rsidR="00294F81" w:rsidRDefault="00294F81" w:rsidP="00A4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8885"/>
      <w:docPartObj>
        <w:docPartGallery w:val="Page Numbers (Bottom of Page)"/>
        <w:docPartUnique/>
      </w:docPartObj>
    </w:sdtPr>
    <w:sdtContent>
      <w:p w:rsidR="00294F81" w:rsidRDefault="00ED1E4B">
        <w:pPr>
          <w:pStyle w:val="a6"/>
          <w:jc w:val="center"/>
        </w:pPr>
        <w:fldSimple w:instr=" PAGE   \* MERGEFORMAT ">
          <w:r w:rsidR="007C0FE0" w:rsidRPr="007C0FE0">
            <w:rPr>
              <w:noProof/>
              <w:lang w:val="zh-TW"/>
            </w:rPr>
            <w:t>3</w:t>
          </w:r>
        </w:fldSimple>
      </w:p>
    </w:sdtContent>
  </w:sdt>
  <w:p w:rsidR="00294F81" w:rsidRDefault="00294F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F81" w:rsidRDefault="00294F81" w:rsidP="00A42FFF">
      <w:r>
        <w:separator/>
      </w:r>
    </w:p>
  </w:footnote>
  <w:footnote w:type="continuationSeparator" w:id="0">
    <w:p w:rsidR="00294F81" w:rsidRDefault="00294F81" w:rsidP="00A42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704E"/>
    <w:multiLevelType w:val="hybridMultilevel"/>
    <w:tmpl w:val="06AC326A"/>
    <w:lvl w:ilvl="0" w:tplc="CB4A872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EB"/>
    <w:rsid w:val="00002AE3"/>
    <w:rsid w:val="00022A6F"/>
    <w:rsid w:val="0003582C"/>
    <w:rsid w:val="00056A0F"/>
    <w:rsid w:val="00062F65"/>
    <w:rsid w:val="000778AE"/>
    <w:rsid w:val="000A0EF2"/>
    <w:rsid w:val="000B7245"/>
    <w:rsid w:val="000E4016"/>
    <w:rsid w:val="000F4493"/>
    <w:rsid w:val="00104718"/>
    <w:rsid w:val="0011694C"/>
    <w:rsid w:val="001240DF"/>
    <w:rsid w:val="001427C2"/>
    <w:rsid w:val="00151F80"/>
    <w:rsid w:val="00185EF7"/>
    <w:rsid w:val="00196166"/>
    <w:rsid w:val="001C4048"/>
    <w:rsid w:val="001F7FF5"/>
    <w:rsid w:val="002049F0"/>
    <w:rsid w:val="00215AB3"/>
    <w:rsid w:val="00215FB1"/>
    <w:rsid w:val="00264C86"/>
    <w:rsid w:val="00273434"/>
    <w:rsid w:val="00274E06"/>
    <w:rsid w:val="00294F81"/>
    <w:rsid w:val="00310267"/>
    <w:rsid w:val="0031602C"/>
    <w:rsid w:val="003160F4"/>
    <w:rsid w:val="00392C4D"/>
    <w:rsid w:val="003B3F7C"/>
    <w:rsid w:val="003F0E5D"/>
    <w:rsid w:val="003F4A29"/>
    <w:rsid w:val="00431CC5"/>
    <w:rsid w:val="00437088"/>
    <w:rsid w:val="0044639D"/>
    <w:rsid w:val="0046084B"/>
    <w:rsid w:val="00476D42"/>
    <w:rsid w:val="00483CA1"/>
    <w:rsid w:val="004A0CD2"/>
    <w:rsid w:val="004E67EB"/>
    <w:rsid w:val="004F3F4B"/>
    <w:rsid w:val="00516F31"/>
    <w:rsid w:val="00542B27"/>
    <w:rsid w:val="00543A8E"/>
    <w:rsid w:val="0055731E"/>
    <w:rsid w:val="00564A35"/>
    <w:rsid w:val="005801D4"/>
    <w:rsid w:val="00585F2E"/>
    <w:rsid w:val="0059544F"/>
    <w:rsid w:val="005A4389"/>
    <w:rsid w:val="005C2ED4"/>
    <w:rsid w:val="005F1BFC"/>
    <w:rsid w:val="006013FE"/>
    <w:rsid w:val="006053DD"/>
    <w:rsid w:val="006076CC"/>
    <w:rsid w:val="00654EEA"/>
    <w:rsid w:val="00673E24"/>
    <w:rsid w:val="0068365A"/>
    <w:rsid w:val="006B20B9"/>
    <w:rsid w:val="006C7873"/>
    <w:rsid w:val="006D1C41"/>
    <w:rsid w:val="00711738"/>
    <w:rsid w:val="00726FA3"/>
    <w:rsid w:val="00751A38"/>
    <w:rsid w:val="007735AB"/>
    <w:rsid w:val="00774012"/>
    <w:rsid w:val="0079144F"/>
    <w:rsid w:val="007B32C9"/>
    <w:rsid w:val="007C0FE0"/>
    <w:rsid w:val="007F64C0"/>
    <w:rsid w:val="008361CF"/>
    <w:rsid w:val="00870DEF"/>
    <w:rsid w:val="008725A6"/>
    <w:rsid w:val="008741CB"/>
    <w:rsid w:val="008D0AF9"/>
    <w:rsid w:val="00916238"/>
    <w:rsid w:val="009275C2"/>
    <w:rsid w:val="009366A0"/>
    <w:rsid w:val="009967C4"/>
    <w:rsid w:val="009A2949"/>
    <w:rsid w:val="009B7A83"/>
    <w:rsid w:val="009D14DA"/>
    <w:rsid w:val="00A07432"/>
    <w:rsid w:val="00A4082E"/>
    <w:rsid w:val="00A42FFF"/>
    <w:rsid w:val="00A57694"/>
    <w:rsid w:val="00A655EC"/>
    <w:rsid w:val="00A95069"/>
    <w:rsid w:val="00AB2690"/>
    <w:rsid w:val="00AC5C74"/>
    <w:rsid w:val="00AC653B"/>
    <w:rsid w:val="00B24D0A"/>
    <w:rsid w:val="00B272DE"/>
    <w:rsid w:val="00B328AE"/>
    <w:rsid w:val="00B57846"/>
    <w:rsid w:val="00B65AF9"/>
    <w:rsid w:val="00B77BBC"/>
    <w:rsid w:val="00B82C6C"/>
    <w:rsid w:val="00B91699"/>
    <w:rsid w:val="00BA3A03"/>
    <w:rsid w:val="00BE7BE6"/>
    <w:rsid w:val="00BF30A9"/>
    <w:rsid w:val="00C13B18"/>
    <w:rsid w:val="00C2010F"/>
    <w:rsid w:val="00CD7949"/>
    <w:rsid w:val="00CE0EE8"/>
    <w:rsid w:val="00D101FA"/>
    <w:rsid w:val="00D20D79"/>
    <w:rsid w:val="00DB3BBC"/>
    <w:rsid w:val="00DD58B9"/>
    <w:rsid w:val="00DF287D"/>
    <w:rsid w:val="00E02E75"/>
    <w:rsid w:val="00E06739"/>
    <w:rsid w:val="00E46306"/>
    <w:rsid w:val="00E620AC"/>
    <w:rsid w:val="00E66021"/>
    <w:rsid w:val="00E90CF8"/>
    <w:rsid w:val="00EA261D"/>
    <w:rsid w:val="00ED1E4B"/>
    <w:rsid w:val="00EE4A65"/>
    <w:rsid w:val="00F02F5E"/>
    <w:rsid w:val="00F16DEF"/>
    <w:rsid w:val="00FB4BFB"/>
    <w:rsid w:val="00FB4DF7"/>
    <w:rsid w:val="00FC5BBD"/>
    <w:rsid w:val="00FD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A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42F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FFF"/>
    <w:rPr>
      <w:sz w:val="20"/>
      <w:szCs w:val="20"/>
    </w:rPr>
  </w:style>
  <w:style w:type="table" w:styleId="a8">
    <w:name w:val="Table Grid"/>
    <w:basedOn w:val="a1"/>
    <w:uiPriority w:val="59"/>
    <w:rsid w:val="00476D42"/>
    <w:pPr>
      <w:ind w:left="567" w:hanging="567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235</Words>
  <Characters>1345</Characters>
  <Application>Microsoft Office Word</Application>
  <DocSecurity>0</DocSecurity>
  <Lines>11</Lines>
  <Paragraphs>3</Paragraphs>
  <ScaleCrop>false</ScaleCrop>
  <Company>CDIC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c137</dc:creator>
  <cp:lastModifiedBy>劉瑞萍</cp:lastModifiedBy>
  <cp:revision>27</cp:revision>
  <cp:lastPrinted>2016-01-20T08:13:00Z</cp:lastPrinted>
  <dcterms:created xsi:type="dcterms:W3CDTF">2015-02-11T08:07:00Z</dcterms:created>
  <dcterms:modified xsi:type="dcterms:W3CDTF">2016-02-04T03:23:00Z</dcterms:modified>
</cp:coreProperties>
</file>