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EB" w:rsidRPr="003A651B" w:rsidRDefault="004E67EB" w:rsidP="009B7E12">
      <w:pPr>
        <w:spacing w:line="460" w:lineRule="exact"/>
        <w:ind w:left="1695" w:hanging="1695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3A651B">
        <w:rPr>
          <w:rFonts w:ascii="標楷體" w:eastAsia="標楷體" w:hAnsi="標楷體"/>
          <w:b/>
          <w:sz w:val="32"/>
          <w:szCs w:val="32"/>
        </w:rPr>
        <w:t>風險指標資料</w:t>
      </w:r>
      <w:r w:rsidRPr="003A651B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查核缺失態樣</w:t>
      </w:r>
      <w:r w:rsidR="00BC4476" w:rsidRPr="003A651B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（10</w:t>
      </w:r>
      <w:r w:rsidR="00C05C9F" w:rsidRPr="003A651B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9</w:t>
      </w:r>
      <w:r w:rsidR="00BC4476" w:rsidRPr="003A651B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年</w:t>
      </w:r>
      <w:r w:rsidR="00C05C9F" w:rsidRPr="003A651B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上</w:t>
      </w:r>
      <w:r w:rsidR="002D2343" w:rsidRPr="003A651B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半年</w:t>
      </w:r>
      <w:r w:rsidR="00BC4476" w:rsidRPr="003A651B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）</w:t>
      </w:r>
    </w:p>
    <w:p w:rsidR="00BC4476" w:rsidRPr="003A651B" w:rsidRDefault="00BC4476" w:rsidP="009B7E12">
      <w:pPr>
        <w:ind w:left="1695" w:hanging="1695"/>
        <w:jc w:val="center"/>
        <w:rPr>
          <w:rFonts w:ascii="標楷體" w:eastAsia="標楷體" w:hAnsi="標楷體"/>
          <w:b/>
          <w:sz w:val="32"/>
          <w:szCs w:val="32"/>
        </w:rPr>
      </w:pPr>
      <w:r w:rsidRPr="003A651B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金融機構類別：農</w:t>
      </w:r>
      <w:r w:rsidRPr="003A651B">
        <w:rPr>
          <w:rFonts w:ascii="標楷體" w:eastAsia="標楷體" w:hAnsi="標楷體" w:hint="eastAsia"/>
          <w:b/>
          <w:sz w:val="32"/>
          <w:szCs w:val="32"/>
        </w:rPr>
        <w:t>會漁會信用部</w:t>
      </w: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76D42" w:rsidRPr="003A651B" w:rsidTr="00E67EDB">
        <w:trPr>
          <w:trHeight w:val="4518"/>
        </w:trPr>
        <w:tc>
          <w:tcPr>
            <w:tcW w:w="8372" w:type="dxa"/>
          </w:tcPr>
          <w:p w:rsidR="004C340B" w:rsidRPr="003A651B" w:rsidRDefault="00BC4476" w:rsidP="00D16063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態樣一：</w:t>
            </w:r>
            <w:r w:rsidR="004C340B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應予評估資產申報及分類錯誤：</w:t>
            </w:r>
          </w:p>
          <w:p w:rsidR="00191882" w:rsidRPr="003A651B" w:rsidRDefault="0019188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1B214A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逾期</w:t>
            </w:r>
            <w:r w:rsidR="002A5B85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催收</w:t>
            </w:r>
            <w:r w:rsidR="001B214A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戶及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呆帳戶</w:t>
            </w:r>
            <w:r w:rsidR="001B214A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之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訴訟</w:t>
            </w:r>
            <w:r w:rsidR="00D972FB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或火災保險等相關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費用，</w:t>
            </w:r>
            <w:r w:rsidR="002A5B85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漏未列入評估或分類錯誤。</w:t>
            </w:r>
            <w:r w:rsidR="00D972FB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387865" w:rsidRPr="003A651B" w:rsidRDefault="003177E3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191882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387865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對還本繳息有欠正常放款</w:t>
            </w:r>
            <w:r w:rsidR="002F1F72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及其</w:t>
            </w:r>
            <w:r w:rsidR="00387865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應收利息，漏未列入評估或分類錯誤。</w:t>
            </w:r>
            <w:r w:rsidR="00D972FB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455BF" w:rsidRPr="003A651B" w:rsidRDefault="00E455BF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  <w:r w:rsidR="00D858B0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供銷部之應收款項誤列於應予評估其他資產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。 </w:t>
            </w:r>
          </w:p>
          <w:p w:rsidR="00E455BF" w:rsidRPr="003A651B" w:rsidRDefault="00E455BF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4.對轉列催收款項案件逾清償期2年，經積極催理仍未收回者，未扣除估計可收回部分後轉銷呆帳。</w:t>
            </w:r>
          </w:p>
          <w:p w:rsidR="00BE4E19" w:rsidRPr="003A651B" w:rsidRDefault="00C96072" w:rsidP="008F28CA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5.承受擔保品評估可能損失有誤。</w:t>
            </w:r>
          </w:p>
        </w:tc>
      </w:tr>
    </w:tbl>
    <w:p w:rsidR="004E67EB" w:rsidRPr="003A651B" w:rsidRDefault="004E67E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4C340B" w:rsidRPr="003A651B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4C340B" w:rsidRPr="003A651B" w:rsidRDefault="009B7E12" w:rsidP="009B7E12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>(</w:t>
      </w:r>
      <w:r w:rsidR="004C340B" w:rsidRPr="003A651B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3A651B">
        <w:rPr>
          <w:rFonts w:ascii="標楷體" w:eastAsia="標楷體" w:hAnsi="標楷體" w:cs="Times New Roman" w:hint="eastAsia"/>
          <w:sz w:val="28"/>
          <w:szCs w:val="28"/>
        </w:rPr>
        <w:t>)</w:t>
      </w:r>
      <w:r w:rsidR="004C340B" w:rsidRPr="003A651B">
        <w:rPr>
          <w:rFonts w:ascii="標楷體" w:eastAsia="標楷體" w:hAnsi="標楷體" w:cs="Times New Roman"/>
          <w:sz w:val="28"/>
          <w:szCs w:val="28"/>
        </w:rPr>
        <w:t>農會</w:t>
      </w:r>
      <w:r w:rsidR="004C340B" w:rsidRPr="003A651B">
        <w:rPr>
          <w:rFonts w:ascii="標楷體" w:eastAsia="標楷體" w:hAnsi="標楷體"/>
          <w:sz w:val="28"/>
          <w:szCs w:val="28"/>
        </w:rPr>
        <w:t>漁會</w:t>
      </w:r>
      <w:r w:rsidR="004C340B" w:rsidRPr="003A651B">
        <w:rPr>
          <w:rFonts w:ascii="標楷體" w:eastAsia="標楷體" w:hAnsi="標楷體" w:cs="Times New Roman"/>
          <w:sz w:val="28"/>
          <w:szCs w:val="28"/>
        </w:rPr>
        <w:t>信用部資產評估損失準備提列及逾期放款催收款呆帳處理辦法。</w:t>
      </w:r>
    </w:p>
    <w:p w:rsidR="004C340B" w:rsidRPr="003A651B" w:rsidRDefault="009B7E12" w:rsidP="009B7E12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>(</w:t>
      </w:r>
      <w:r w:rsidR="004C340B" w:rsidRPr="003A651B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3A651B">
        <w:rPr>
          <w:rFonts w:ascii="標楷體" w:eastAsia="標楷體" w:hAnsi="標楷體" w:cs="Times New Roman" w:hint="eastAsia"/>
          <w:sz w:val="28"/>
          <w:szCs w:val="28"/>
        </w:rPr>
        <w:t>)</w:t>
      </w:r>
      <w:r w:rsidR="004C340B" w:rsidRPr="003A651B">
        <w:rPr>
          <w:rFonts w:ascii="標楷體" w:eastAsia="標楷體" w:hAnsi="標楷體" w:cs="Times New Roman" w:hint="eastAsia"/>
          <w:sz w:val="28"/>
          <w:szCs w:val="28"/>
        </w:rPr>
        <w:t>農會財務處理辦法第92條：「資產之評價依下列規定核計：二、</w:t>
      </w:r>
      <w:r w:rsidR="004C340B" w:rsidRPr="003A651B">
        <w:rPr>
          <w:rFonts w:ascii="標楷體" w:eastAsia="標楷體" w:hAnsi="標楷體" w:hint="eastAsia"/>
          <w:sz w:val="28"/>
          <w:szCs w:val="28"/>
        </w:rPr>
        <w:t>有價證券</w:t>
      </w:r>
      <w:r w:rsidR="004C340B" w:rsidRPr="003A651B">
        <w:rPr>
          <w:rFonts w:ascii="標楷體" w:eastAsia="標楷體" w:hAnsi="標楷體" w:cs="Times New Roman" w:hint="eastAsia"/>
          <w:sz w:val="28"/>
          <w:szCs w:val="28"/>
        </w:rPr>
        <w:t>、長期投資、存貨、承受擔保品及其他資產以成本為基準，成本高於時價時以時價為基準」。</w:t>
      </w:r>
    </w:p>
    <w:p w:rsidR="004C340B" w:rsidRPr="003A651B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>2.依規定填報並落實複核機制。</w:t>
      </w:r>
    </w:p>
    <w:p w:rsidR="004C340B" w:rsidRPr="003A651B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BE4E19" w:rsidRPr="003A651B" w:rsidRDefault="00BE4E19" w:rsidP="00D16063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3A651B" w:rsidTr="003177E3">
        <w:trPr>
          <w:trHeight w:val="1014"/>
        </w:trPr>
        <w:tc>
          <w:tcPr>
            <w:tcW w:w="8372" w:type="dxa"/>
          </w:tcPr>
          <w:p w:rsidR="004C340B" w:rsidRPr="003A651B" w:rsidRDefault="00BC4476" w:rsidP="00D16063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態樣二：</w:t>
            </w:r>
            <w:r w:rsidR="004C340B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資本適足率</w:t>
            </w:r>
            <w:r w:rsidR="00FC0492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申報有</w:t>
            </w:r>
            <w:r w:rsidR="004C340B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FC0492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差</w:t>
            </w:r>
            <w:r w:rsidR="004C340B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3D66DA" w:rsidRPr="003A651B" w:rsidRDefault="002758F0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191882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.對擔保品屬性不符規定（</w:t>
            </w:r>
            <w:r w:rsidR="000F1001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營業處所、倉庫、空地</w:t>
            </w:r>
            <w:r w:rsidR="00A07E46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、廠房</w:t>
            </w:r>
            <w:r w:rsidR="002738AB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、餘屋</w:t>
            </w:r>
            <w:r w:rsidR="000F1001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或出租營業使用</w:t>
            </w:r>
            <w:r w:rsidR="00191882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="00E165AF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等</w:t>
            </w:r>
            <w:r w:rsidR="00191882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非屬住宅用不動產擔保放款（含應收利息，風險權數100%），誤列為住宅用不動產擔保放款（風險權數50%）。</w:t>
            </w:r>
          </w:p>
          <w:p w:rsidR="00846BD2" w:rsidRPr="003A651B" w:rsidRDefault="003177E3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EE6A92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846BD2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對擔保品屬住宅用不動產擔保放款（風險權數50%），</w:t>
            </w:r>
            <w:r w:rsidR="00846BD2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誤列</w:t>
            </w:r>
            <w:r w:rsidR="002738AB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為</w:t>
            </w:r>
            <w:r w:rsidR="00846BD2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一般放款（風險權數100%）或移送農業信用保證基金保證放款（風險權數20%）。</w:t>
            </w:r>
          </w:p>
          <w:p w:rsidR="00846BD2" w:rsidRPr="003A651B" w:rsidRDefault="00846BD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3.屬逾期放款（風險權數100</w:t>
            </w:r>
            <w:r w:rsidR="00E67EDB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），誤</w:t>
            </w:r>
            <w:r w:rsidR="002738AB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列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為住宅用不動產擔保放款（風險權數50</w:t>
            </w:r>
            <w:r w:rsidR="00E67EDB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）。</w:t>
            </w:r>
          </w:p>
          <w:p w:rsidR="00726C64" w:rsidRPr="003A651B" w:rsidRDefault="00846BD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4.</w:t>
            </w:r>
            <w:r w:rsidR="00726C64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對移送農業信用保證基金保證之放款(含應收利息)，全額以風險權數20%計算，未將不受保證之成數改以一般放款之風險權數100%計算</w:t>
            </w:r>
            <w:r w:rsidR="00BD1B6C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，或保證成數建檔錯誤，致風險權數適用錯誤</w:t>
            </w:r>
            <w:r w:rsidR="00726C64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0F1001" w:rsidRPr="003A651B" w:rsidRDefault="00846BD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3D66DA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0F1001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對未移送農業信用保證基金保證之放款（含應收利息，風險權數100%），誤列為移送農業信用保證基金保證之放款（風險權數20%）。</w:t>
            </w:r>
          </w:p>
          <w:p w:rsidR="004F45FA" w:rsidRPr="003A651B" w:rsidRDefault="00846BD2" w:rsidP="00D16063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AD181A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4F45FA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屬農業信用保證基金保證之債權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(風險權數20%)，</w:t>
            </w:r>
            <w:r w:rsidR="004F45FA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誤列為住宅用不動產擔保放款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(風險權數50%)</w:t>
            </w:r>
            <w:r w:rsidR="004F45FA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其他資產</w:t>
            </w:r>
            <w:r w:rsidR="004F45FA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或無擔保放款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(風險權數</w:t>
            </w:r>
            <w:r w:rsidR="004F45FA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100%)。</w:t>
            </w:r>
          </w:p>
          <w:p w:rsidR="003D66DA" w:rsidRPr="003A651B" w:rsidRDefault="00846BD2" w:rsidP="00D16063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7.</w:t>
            </w:r>
            <w:r w:rsidR="00AD181A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可能遭受損失未列入特定損失，並自合格淨值及風險性資產總額扣除。</w:t>
            </w:r>
          </w:p>
          <w:p w:rsidR="00846BD2" w:rsidRPr="003A651B" w:rsidRDefault="00846BD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746F61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綜合存款透支（風險權數100</w:t>
            </w:r>
            <w:r w:rsidR="00E67EDB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），誤列為一般放款-擔保-存單質借（風險權數0</w:t>
            </w:r>
            <w:r w:rsidR="00E67EDB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）。</w:t>
            </w:r>
          </w:p>
          <w:p w:rsidR="003177E3" w:rsidRPr="003A651B" w:rsidRDefault="003177E3" w:rsidP="00D16063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31CC5" w:rsidRPr="003A651B" w:rsidRDefault="00431CC5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改善作法：</w:t>
      </w:r>
    </w:p>
    <w:p w:rsidR="004C340B" w:rsidRPr="003A651B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4C340B" w:rsidRPr="003A651B" w:rsidRDefault="00BF428E" w:rsidP="00D16063">
      <w:pPr>
        <w:spacing w:line="460" w:lineRule="exact"/>
        <w:ind w:leftChars="59" w:left="561" w:hanging="419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4C340B" w:rsidRPr="003A651B">
        <w:rPr>
          <w:rFonts w:ascii="標楷體" w:eastAsia="標楷體" w:hAnsi="標楷體" w:cs="Times New Roman" w:hint="eastAsia"/>
          <w:sz w:val="28"/>
          <w:szCs w:val="28"/>
        </w:rPr>
        <w:t>農會漁會信用部淨值占風險性資產比率管理辦法。</w:t>
      </w:r>
    </w:p>
    <w:p w:rsidR="004C340B" w:rsidRPr="003A651B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>2.正確建檔並依規定填報及落實複核機制。</w:t>
      </w:r>
    </w:p>
    <w:p w:rsidR="004C340B" w:rsidRPr="003A651B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431CC5" w:rsidRPr="003A651B" w:rsidRDefault="00431CC5" w:rsidP="00D16063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Borders>
          <w:top w:val="thinThickThinSmallGap" w:sz="24" w:space="0" w:color="548DD4" w:themeColor="text2" w:themeTint="99"/>
          <w:left w:val="thinThickThinSmallGap" w:sz="24" w:space="0" w:color="548DD4" w:themeColor="text2" w:themeTint="99"/>
          <w:bottom w:val="thinThickThinSmallGap" w:sz="24" w:space="0" w:color="548DD4" w:themeColor="text2" w:themeTint="99"/>
          <w:right w:val="thinThickThinSmallGap" w:sz="24" w:space="0" w:color="548DD4" w:themeColor="text2" w:themeTint="99"/>
          <w:insideH w:val="thinThickThinSmallGap" w:sz="24" w:space="0" w:color="548DD4" w:themeColor="text2" w:themeTint="99"/>
          <w:insideV w:val="thinThickThinSmallGap" w:sz="24" w:space="0" w:color="548DD4" w:themeColor="text2" w:themeTint="99"/>
        </w:tblBorders>
        <w:tblLook w:val="04A0"/>
      </w:tblPr>
      <w:tblGrid>
        <w:gridCol w:w="8472"/>
      </w:tblGrid>
      <w:tr w:rsidR="00663D94" w:rsidRPr="003A651B" w:rsidTr="00E67EDB">
        <w:trPr>
          <w:trHeight w:val="731"/>
        </w:trPr>
        <w:tc>
          <w:tcPr>
            <w:tcW w:w="8472" w:type="dxa"/>
          </w:tcPr>
          <w:p w:rsidR="00663D94" w:rsidRPr="003A651B" w:rsidRDefault="00663D94" w:rsidP="004117E8">
            <w:pPr>
              <w:spacing w:line="460" w:lineRule="exact"/>
              <w:ind w:left="1064" w:hanging="1102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態樣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：理事、監事、總幹事及各部門員工，或對與其理事、監事、總幹事、信用部主任或辦理授信職員有利害關係者擔保授信總額申報錯誤：</w:t>
            </w:r>
          </w:p>
          <w:p w:rsidR="00663D94" w:rsidRPr="003A651B" w:rsidRDefault="00663D94" w:rsidP="00497376">
            <w:pPr>
              <w:pStyle w:val="a3"/>
              <w:numPr>
                <w:ilvl w:val="0"/>
                <w:numId w:val="1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漏未列計屬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理事、監事、總幹事、信用部主任或辦理授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lastRenderedPageBreak/>
              <w:t>信職員之有利害關係者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擔保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授信。</w:t>
            </w:r>
          </w:p>
          <w:p w:rsidR="00497376" w:rsidRPr="003A651B" w:rsidRDefault="00497376" w:rsidP="00497376">
            <w:pPr>
              <w:pStyle w:val="a3"/>
              <w:numPr>
                <w:ilvl w:val="0"/>
                <w:numId w:val="1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誤將職員辦理之無擔保消費放款</w:t>
            </w:r>
            <w:r w:rsidR="00A668CD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或授信審議委員之有利害關係者放款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列入申報</w:t>
            </w:r>
            <w:r w:rsidR="00E619DC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EA3B43" w:rsidRPr="003A651B" w:rsidRDefault="00EA3B43" w:rsidP="00A668CD">
            <w:pPr>
              <w:spacing w:line="460" w:lineRule="exact"/>
              <w:ind w:left="1035" w:firstLine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415C2" w:rsidRPr="003A651B" w:rsidRDefault="00F415C2" w:rsidP="003F4A1E">
      <w:pPr>
        <w:spacing w:line="460" w:lineRule="exact"/>
        <w:ind w:leftChars="59" w:left="568" w:hanging="426"/>
        <w:rPr>
          <w:rFonts w:ascii="標楷體" w:eastAsia="標楷體" w:hAnsi="標楷體"/>
          <w:b/>
          <w:spacing w:val="-14"/>
          <w:sz w:val="28"/>
          <w:szCs w:val="28"/>
        </w:rPr>
      </w:pPr>
      <w:r w:rsidRPr="003A651B">
        <w:rPr>
          <w:rFonts w:ascii="標楷體" w:eastAsia="標楷體" w:hAnsi="標楷體" w:hint="eastAsia"/>
          <w:b/>
          <w:spacing w:val="-14"/>
          <w:sz w:val="28"/>
          <w:szCs w:val="28"/>
        </w:rPr>
        <w:lastRenderedPageBreak/>
        <w:t>改善作法：</w:t>
      </w:r>
    </w:p>
    <w:p w:rsidR="0040089B" w:rsidRPr="003A651B" w:rsidRDefault="00F415C2" w:rsidP="0040089B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F415C2" w:rsidRPr="003A651B" w:rsidRDefault="00F415C2" w:rsidP="0040089B">
      <w:pPr>
        <w:spacing w:line="460" w:lineRule="exact"/>
        <w:ind w:leftChars="177" w:left="425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>農金法準用銀行法第32條(對利害關係人無擔保授信之限制 )、第33條(對利害關係人擔保授信之限制）等規定。</w:t>
      </w:r>
    </w:p>
    <w:p w:rsidR="00F415C2" w:rsidRPr="003A651B" w:rsidRDefault="00F415C2" w:rsidP="0040089B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>2.正確建檔並依規定填報及落實複核機制。</w:t>
      </w:r>
    </w:p>
    <w:p w:rsidR="00663D94" w:rsidRPr="003A651B" w:rsidRDefault="00F415C2" w:rsidP="0040089B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663D94" w:rsidRPr="003A651B" w:rsidRDefault="00663D94" w:rsidP="00D16063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78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44"/>
      </w:tblGrid>
      <w:tr w:rsidR="00787153" w:rsidRPr="003A651B" w:rsidTr="00787153">
        <w:tc>
          <w:tcPr>
            <w:tcW w:w="8344" w:type="dxa"/>
          </w:tcPr>
          <w:p w:rsidR="00787153" w:rsidRPr="003A651B" w:rsidRDefault="00787153" w:rsidP="00D16063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r w:rsidR="004117E8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：建築貸款申報錯誤：</w:t>
            </w:r>
          </w:p>
          <w:p w:rsidR="00191882" w:rsidRPr="003A651B" w:rsidRDefault="0019188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1.未將</w:t>
            </w:r>
            <w:r w:rsidR="00ED4A59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建築業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所辦理之購地</w:t>
            </w:r>
            <w:r w:rsidR="00A07E46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、興建房屋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及週轉金貸款列入申報。</w:t>
            </w:r>
            <w:r w:rsidR="003D66DA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0F1001" w:rsidRPr="003A651B" w:rsidRDefault="0019188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2.未將從事建築投資</w:t>
            </w:r>
            <w:r w:rsidR="002738AB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之個人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所辦理之</w:t>
            </w:r>
            <w:r w:rsidR="00ED4A59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購地及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週轉金貸款列入申報。</w:t>
            </w:r>
            <w:r w:rsidR="003D66DA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8166F3" w:rsidRPr="003A651B" w:rsidRDefault="00A07E46" w:rsidP="008166F3">
            <w:pPr>
              <w:spacing w:line="460" w:lineRule="exact"/>
              <w:ind w:left="1134" w:firstLine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  <w:r w:rsidR="002738AB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誤將</w:t>
            </w:r>
            <w:r w:rsidR="008166F3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非從事建築投資之</w:t>
            </w:r>
            <w:r w:rsidR="002738AB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個人</w:t>
            </w:r>
            <w:r w:rsidR="00D46C99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所辦理之</w:t>
            </w:r>
            <w:r w:rsidR="008166F3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貸款</w:t>
            </w:r>
            <w:r w:rsidR="002738AB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列入申報</w:t>
            </w:r>
            <w:r w:rsidR="008166F3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8166F3" w:rsidRPr="003A651B" w:rsidRDefault="008166F3" w:rsidP="008166F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87153" w:rsidRPr="003A651B" w:rsidRDefault="00787153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787153" w:rsidRPr="003A651B" w:rsidRDefault="00787153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3D66DA" w:rsidRPr="003A651B" w:rsidRDefault="003D66DA" w:rsidP="00D16063">
      <w:pPr>
        <w:spacing w:line="460" w:lineRule="exact"/>
        <w:ind w:leftChars="177" w:left="425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>行政院農業委員會106年8月28日農授金字第1065074401號函修正</w:t>
      </w:r>
      <w:r w:rsidRPr="003A651B">
        <w:rPr>
          <w:rFonts w:ascii="標楷體" w:eastAsia="標楷體" w:hAnsi="標楷體" w:cs="Times New Roman"/>
          <w:sz w:val="28"/>
          <w:szCs w:val="28"/>
        </w:rPr>
        <w:t>「農漁會信用部建築貸款管控措施（</w:t>
      </w:r>
      <w:r w:rsidRPr="003A651B">
        <w:rPr>
          <w:rFonts w:ascii="標楷體" w:eastAsia="標楷體" w:hAnsi="標楷體" w:cs="Times New Roman" w:hint="eastAsia"/>
          <w:sz w:val="28"/>
          <w:szCs w:val="28"/>
        </w:rPr>
        <w:t>含</w:t>
      </w:r>
      <w:r w:rsidRPr="003A651B">
        <w:rPr>
          <w:rFonts w:ascii="標楷體" w:eastAsia="標楷體" w:hAnsi="標楷體" w:cs="Times New Roman"/>
          <w:sz w:val="28"/>
          <w:szCs w:val="28"/>
        </w:rPr>
        <w:t>問與答）」</w:t>
      </w:r>
      <w:r w:rsidRPr="003A651B">
        <w:rPr>
          <w:rFonts w:ascii="標楷體" w:eastAsia="標楷體" w:hAnsi="標楷體" w:cs="Times New Roman" w:hint="eastAsia"/>
          <w:sz w:val="28"/>
          <w:szCs w:val="28"/>
        </w:rPr>
        <w:t>，建築貸款範圍如下:</w:t>
      </w:r>
    </w:p>
    <w:p w:rsidR="003D66DA" w:rsidRPr="003A651B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>(</w:t>
      </w:r>
      <w:r w:rsidR="003D66DA" w:rsidRPr="003A651B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3A651B">
        <w:rPr>
          <w:rFonts w:ascii="標楷體" w:eastAsia="標楷體" w:hAnsi="標楷體" w:cs="Times New Roman" w:hint="eastAsia"/>
          <w:sz w:val="28"/>
          <w:szCs w:val="28"/>
        </w:rPr>
        <w:t>)</w:t>
      </w:r>
      <w:r w:rsidR="003D66DA" w:rsidRPr="003A651B">
        <w:rPr>
          <w:rFonts w:ascii="標楷體" w:eastAsia="標楷體" w:hAnsi="標楷體" w:cs="Times New Roman"/>
          <w:sz w:val="28"/>
          <w:szCs w:val="28"/>
        </w:rPr>
        <w:t>建築業貸款：係指對以房屋興建投資為主要業務之企業承做之購地、興建房屋及週轉金貸款，但房屋興建 屬自用部分則不包含之。</w:t>
      </w:r>
    </w:p>
    <w:p w:rsidR="003D66DA" w:rsidRPr="003A651B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>(</w:t>
      </w:r>
      <w:r w:rsidR="003D66DA" w:rsidRPr="003A651B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3A651B">
        <w:rPr>
          <w:rFonts w:ascii="標楷體" w:eastAsia="標楷體" w:hAnsi="標楷體" w:cs="Times New Roman" w:hint="eastAsia"/>
          <w:sz w:val="28"/>
          <w:szCs w:val="28"/>
        </w:rPr>
        <w:t>)</w:t>
      </w:r>
      <w:r w:rsidR="003D66DA" w:rsidRPr="003A651B">
        <w:rPr>
          <w:rFonts w:ascii="標楷體" w:eastAsia="標楷體" w:hAnsi="標楷體" w:cs="Times New Roman"/>
          <w:sz w:val="28"/>
          <w:szCs w:val="28"/>
        </w:rPr>
        <w:t>對其他企業建築貸款：係指對建築業以外之企業因承做房屋興建投資所辦理之購地、興建房屋及週轉金貸 款，但房屋興建屬自用部分則不包含之。</w:t>
      </w:r>
    </w:p>
    <w:p w:rsidR="003D66DA" w:rsidRPr="003A651B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lastRenderedPageBreak/>
        <w:t>(</w:t>
      </w:r>
      <w:r w:rsidR="003D66DA" w:rsidRPr="003A651B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3A651B">
        <w:rPr>
          <w:rFonts w:ascii="標楷體" w:eastAsia="標楷體" w:hAnsi="標楷體" w:cs="Times New Roman" w:hint="eastAsia"/>
          <w:sz w:val="28"/>
          <w:szCs w:val="28"/>
        </w:rPr>
        <w:t>)</w:t>
      </w:r>
      <w:r w:rsidR="003D66DA" w:rsidRPr="003A651B">
        <w:rPr>
          <w:rFonts w:ascii="標楷體" w:eastAsia="標楷體" w:hAnsi="標楷體" w:cs="Times New Roman"/>
          <w:sz w:val="28"/>
          <w:szCs w:val="28"/>
        </w:rPr>
        <w:t>對個人戶建築貸款：係指對從事建築投資之個人所辦 理之購地、興建房屋及週轉金貸款，但房屋興建屬自 用部分則不包含之。</w:t>
      </w:r>
    </w:p>
    <w:p w:rsidR="003D66DA" w:rsidRPr="003A651B" w:rsidRDefault="003D66DA" w:rsidP="00D16063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>2.正確建檔並依規定填報及落實複核機制。</w:t>
      </w:r>
    </w:p>
    <w:p w:rsidR="009B59DC" w:rsidRPr="003A651B" w:rsidRDefault="003D66DA" w:rsidP="00D16063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3A651B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E455BF" w:rsidRPr="003A651B" w:rsidRDefault="00E455BF" w:rsidP="00D16063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8505" w:type="dxa"/>
        <w:tblInd w:w="108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505"/>
      </w:tblGrid>
      <w:tr w:rsidR="00E455BF" w:rsidRPr="003A651B" w:rsidTr="0098506E">
        <w:tc>
          <w:tcPr>
            <w:tcW w:w="8505" w:type="dxa"/>
          </w:tcPr>
          <w:p w:rsidR="00E455BF" w:rsidRPr="003A651B" w:rsidRDefault="00E455BF" w:rsidP="00D16063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r w:rsidR="004117E8"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：流動準備比率申報錯誤：</w:t>
            </w:r>
          </w:p>
          <w:p w:rsidR="00746F61" w:rsidRPr="003A651B" w:rsidRDefault="00746F61" w:rsidP="003708FB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1B">
              <w:rPr>
                <w:rFonts w:ascii="標楷體" w:eastAsia="標楷體" w:hAnsi="標楷體" w:hint="eastAsia"/>
                <w:b/>
                <w:sz w:val="28"/>
                <w:szCs w:val="28"/>
              </w:rPr>
              <w:t>未扣除定期存單已設定質權金額。</w:t>
            </w:r>
          </w:p>
          <w:p w:rsidR="00E455BF" w:rsidRPr="003A651B" w:rsidRDefault="00E455BF" w:rsidP="008166F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455BF" w:rsidRPr="003A651B" w:rsidRDefault="00E455BF" w:rsidP="00603F53">
      <w:pPr>
        <w:spacing w:line="460" w:lineRule="exact"/>
        <w:ind w:leftChars="59" w:left="1418" w:hanging="1276"/>
        <w:jc w:val="both"/>
        <w:rPr>
          <w:rFonts w:ascii="標楷體" w:eastAsia="標楷體" w:hAnsi="標楷體"/>
          <w:b/>
          <w:sz w:val="28"/>
          <w:szCs w:val="28"/>
        </w:rPr>
      </w:pPr>
      <w:r w:rsidRPr="003A651B">
        <w:rPr>
          <w:rFonts w:ascii="標楷體" w:eastAsia="標楷體" w:hAnsi="標楷體" w:hint="eastAsia"/>
          <w:b/>
          <w:sz w:val="28"/>
          <w:szCs w:val="28"/>
        </w:rPr>
        <w:t>改善</w:t>
      </w:r>
      <w:r w:rsidRPr="003A651B">
        <w:rPr>
          <w:rFonts w:ascii="標楷體" w:eastAsia="標楷體" w:hAnsi="標楷體" w:cs="Times New Roman" w:hint="eastAsia"/>
          <w:b/>
          <w:sz w:val="28"/>
          <w:szCs w:val="28"/>
        </w:rPr>
        <w:t>作法</w:t>
      </w:r>
      <w:r w:rsidRPr="003A651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455BF" w:rsidRPr="003A651B" w:rsidRDefault="00E455BF" w:rsidP="00603F53">
      <w:pPr>
        <w:spacing w:line="460" w:lineRule="exact"/>
        <w:ind w:leftChars="59" w:left="1418" w:hanging="1276"/>
        <w:jc w:val="both"/>
        <w:rPr>
          <w:rFonts w:ascii="標楷體" w:eastAsia="標楷體" w:hAnsi="標楷體"/>
          <w:sz w:val="28"/>
          <w:szCs w:val="28"/>
        </w:rPr>
      </w:pPr>
      <w:r w:rsidRPr="003A651B">
        <w:rPr>
          <w:rFonts w:ascii="標楷體" w:eastAsia="標楷體" w:hAnsi="標楷體" w:hint="eastAsia"/>
          <w:sz w:val="28"/>
          <w:szCs w:val="28"/>
        </w:rPr>
        <w:t>1.參考</w:t>
      </w:r>
      <w:r w:rsidRPr="003A651B">
        <w:rPr>
          <w:rFonts w:ascii="標楷體" w:eastAsia="標楷體" w:hAnsi="標楷體" w:cs="Times New Roman" w:hint="eastAsia"/>
          <w:sz w:val="28"/>
          <w:szCs w:val="28"/>
        </w:rPr>
        <w:t>法規</w:t>
      </w:r>
      <w:r w:rsidRPr="003A651B">
        <w:rPr>
          <w:rFonts w:ascii="標楷體" w:eastAsia="標楷體" w:hAnsi="標楷體" w:hint="eastAsia"/>
          <w:sz w:val="28"/>
          <w:szCs w:val="28"/>
        </w:rPr>
        <w:t>：</w:t>
      </w:r>
    </w:p>
    <w:p w:rsidR="00E455BF" w:rsidRPr="003A651B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3A651B">
        <w:rPr>
          <w:rFonts w:ascii="標楷體" w:eastAsia="標楷體" w:hAnsi="標楷體" w:hint="eastAsia"/>
          <w:sz w:val="28"/>
          <w:szCs w:val="28"/>
        </w:rPr>
        <w:t>(</w:t>
      </w:r>
      <w:r w:rsidR="00E455BF" w:rsidRPr="003A651B">
        <w:rPr>
          <w:rFonts w:ascii="標楷體" w:eastAsia="標楷體" w:hAnsi="標楷體" w:hint="eastAsia"/>
          <w:sz w:val="28"/>
          <w:szCs w:val="28"/>
        </w:rPr>
        <w:t>1</w:t>
      </w:r>
      <w:r w:rsidRPr="003A651B">
        <w:rPr>
          <w:rFonts w:ascii="標楷體" w:eastAsia="標楷體" w:hAnsi="標楷體" w:hint="eastAsia"/>
          <w:sz w:val="28"/>
          <w:szCs w:val="28"/>
        </w:rPr>
        <w:t>)</w:t>
      </w:r>
      <w:r w:rsidR="00E455BF" w:rsidRPr="003A651B">
        <w:rPr>
          <w:rFonts w:ascii="標楷體" w:eastAsia="標楷體" w:hAnsi="標楷體" w:hint="eastAsia"/>
          <w:sz w:val="28"/>
          <w:szCs w:val="28"/>
        </w:rPr>
        <w:t>金融機構存款及其他各種負債準備金調整及查核辦法。</w:t>
      </w:r>
    </w:p>
    <w:p w:rsidR="00E455BF" w:rsidRPr="003A651B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3A651B">
        <w:rPr>
          <w:rFonts w:ascii="標楷體" w:eastAsia="標楷體" w:hAnsi="標楷體" w:hint="eastAsia"/>
          <w:sz w:val="28"/>
          <w:szCs w:val="28"/>
        </w:rPr>
        <w:t>(</w:t>
      </w:r>
      <w:r w:rsidR="00E455BF" w:rsidRPr="003A651B">
        <w:rPr>
          <w:rFonts w:ascii="標楷體" w:eastAsia="標楷體" w:hAnsi="標楷體" w:hint="eastAsia"/>
          <w:sz w:val="28"/>
          <w:szCs w:val="28"/>
        </w:rPr>
        <w:t>2</w:t>
      </w:r>
      <w:r w:rsidRPr="003A651B">
        <w:rPr>
          <w:rFonts w:ascii="標楷體" w:eastAsia="標楷體" w:hAnsi="標楷體" w:hint="eastAsia"/>
          <w:sz w:val="28"/>
          <w:szCs w:val="28"/>
        </w:rPr>
        <w:t>)</w:t>
      </w:r>
      <w:r w:rsidR="00E455BF" w:rsidRPr="003A651B">
        <w:rPr>
          <w:rFonts w:ascii="標楷體" w:eastAsia="標楷體" w:hAnsi="標楷體" w:hint="eastAsia"/>
          <w:sz w:val="28"/>
          <w:szCs w:val="28"/>
        </w:rPr>
        <w:t>金融機構流動性查核要點。</w:t>
      </w:r>
    </w:p>
    <w:p w:rsidR="00E455BF" w:rsidRPr="003A651B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3A651B">
        <w:rPr>
          <w:rFonts w:ascii="標楷體" w:eastAsia="標楷體" w:hAnsi="標楷體" w:hint="eastAsia"/>
          <w:sz w:val="28"/>
          <w:szCs w:val="28"/>
        </w:rPr>
        <w:t>(</w:t>
      </w:r>
      <w:r w:rsidR="00E455BF" w:rsidRPr="003A651B">
        <w:rPr>
          <w:rFonts w:ascii="標楷體" w:eastAsia="標楷體" w:hAnsi="標楷體" w:hint="eastAsia"/>
          <w:sz w:val="28"/>
          <w:szCs w:val="28"/>
        </w:rPr>
        <w:t>3</w:t>
      </w:r>
      <w:r w:rsidRPr="003A651B">
        <w:rPr>
          <w:rFonts w:ascii="標楷體" w:eastAsia="標楷體" w:hAnsi="標楷體" w:hint="eastAsia"/>
          <w:sz w:val="28"/>
          <w:szCs w:val="28"/>
        </w:rPr>
        <w:t>)</w:t>
      </w:r>
      <w:r w:rsidR="00E455BF" w:rsidRPr="003A651B">
        <w:rPr>
          <w:rFonts w:ascii="標楷體" w:eastAsia="標楷體" w:hAnsi="標楷體" w:hint="eastAsia"/>
          <w:sz w:val="28"/>
          <w:szCs w:val="28"/>
        </w:rPr>
        <w:t>流動準備比率之計算說明與表格。</w:t>
      </w:r>
    </w:p>
    <w:p w:rsidR="00E455BF" w:rsidRPr="003A651B" w:rsidRDefault="00E455BF" w:rsidP="00603F53">
      <w:pPr>
        <w:spacing w:line="460" w:lineRule="exact"/>
        <w:ind w:leftChars="59" w:left="1418" w:hanging="1276"/>
        <w:jc w:val="both"/>
        <w:rPr>
          <w:rFonts w:ascii="標楷體" w:eastAsia="標楷體" w:hAnsi="標楷體"/>
          <w:sz w:val="28"/>
          <w:szCs w:val="28"/>
        </w:rPr>
      </w:pPr>
      <w:r w:rsidRPr="003A651B">
        <w:rPr>
          <w:rFonts w:ascii="標楷體" w:eastAsia="標楷體" w:hAnsi="標楷體" w:hint="eastAsia"/>
          <w:sz w:val="28"/>
          <w:szCs w:val="28"/>
        </w:rPr>
        <w:t>2.依規定</w:t>
      </w:r>
      <w:r w:rsidRPr="003A651B">
        <w:rPr>
          <w:rFonts w:ascii="標楷體" w:eastAsia="標楷體" w:hAnsi="標楷體" w:cs="Times New Roman" w:hint="eastAsia"/>
          <w:sz w:val="28"/>
          <w:szCs w:val="28"/>
        </w:rPr>
        <w:t>填報</w:t>
      </w:r>
      <w:r w:rsidRPr="003A651B">
        <w:rPr>
          <w:rFonts w:ascii="標楷體" w:eastAsia="標楷體" w:hAnsi="標楷體" w:hint="eastAsia"/>
          <w:sz w:val="28"/>
          <w:szCs w:val="28"/>
        </w:rPr>
        <w:t>並落實複核機制。</w:t>
      </w:r>
    </w:p>
    <w:p w:rsidR="00E455BF" w:rsidRPr="003A651B" w:rsidRDefault="00E455BF" w:rsidP="001B398E">
      <w:pPr>
        <w:spacing w:line="460" w:lineRule="exact"/>
        <w:ind w:leftChars="59" w:left="1418" w:hanging="1276"/>
        <w:jc w:val="both"/>
        <w:rPr>
          <w:rFonts w:ascii="標楷體" w:eastAsia="標楷體" w:hAnsi="標楷體"/>
          <w:sz w:val="28"/>
          <w:szCs w:val="28"/>
        </w:rPr>
      </w:pPr>
      <w:r w:rsidRPr="003A651B">
        <w:rPr>
          <w:rFonts w:ascii="標楷體" w:eastAsia="標楷體" w:hAnsi="標楷體" w:hint="eastAsia"/>
          <w:sz w:val="28"/>
          <w:szCs w:val="28"/>
        </w:rPr>
        <w:t>3.內部稽核將申報</w:t>
      </w:r>
      <w:r w:rsidRPr="003A651B">
        <w:rPr>
          <w:rFonts w:ascii="標楷體" w:eastAsia="標楷體" w:hAnsi="標楷體" w:cs="Times New Roman" w:hint="eastAsia"/>
          <w:sz w:val="28"/>
          <w:szCs w:val="28"/>
        </w:rPr>
        <w:t>資料</w:t>
      </w:r>
      <w:r w:rsidRPr="003A651B">
        <w:rPr>
          <w:rFonts w:ascii="標楷體" w:eastAsia="標楷體" w:hAnsi="標楷體" w:hint="eastAsia"/>
          <w:sz w:val="28"/>
          <w:szCs w:val="28"/>
        </w:rPr>
        <w:t>正確性列為查核重點。</w:t>
      </w:r>
    </w:p>
    <w:sectPr w:rsidR="00E455BF" w:rsidRPr="003A651B" w:rsidSect="00663D9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D2" w:rsidRDefault="00846BD2" w:rsidP="00A42FFF">
      <w:r>
        <w:separator/>
      </w:r>
    </w:p>
  </w:endnote>
  <w:endnote w:type="continuationSeparator" w:id="0">
    <w:p w:rsidR="00846BD2" w:rsidRDefault="00846BD2" w:rsidP="00A4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885"/>
      <w:docPartObj>
        <w:docPartGallery w:val="Page Numbers (Bottom of Page)"/>
        <w:docPartUnique/>
      </w:docPartObj>
    </w:sdtPr>
    <w:sdtContent>
      <w:p w:rsidR="00846BD2" w:rsidRDefault="007B58D4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 w:rsidR="00846BD2"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3F4A1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846BD2" w:rsidRDefault="00846B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D2" w:rsidRDefault="00846BD2" w:rsidP="00A42FFF">
      <w:r>
        <w:separator/>
      </w:r>
    </w:p>
  </w:footnote>
  <w:footnote w:type="continuationSeparator" w:id="0">
    <w:p w:rsidR="00846BD2" w:rsidRDefault="00846BD2" w:rsidP="00A4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04E"/>
    <w:multiLevelType w:val="hybridMultilevel"/>
    <w:tmpl w:val="06AC326A"/>
    <w:lvl w:ilvl="0" w:tplc="CB4A872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">
    <w:nsid w:val="410A695B"/>
    <w:multiLevelType w:val="hybridMultilevel"/>
    <w:tmpl w:val="F29E3AF8"/>
    <w:lvl w:ilvl="0" w:tplc="2D0A32B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2">
    <w:nsid w:val="424E7F5C"/>
    <w:multiLevelType w:val="hybridMultilevel"/>
    <w:tmpl w:val="5DB203FC"/>
    <w:lvl w:ilvl="0" w:tplc="9F5E62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44E953AE"/>
    <w:multiLevelType w:val="hybridMultilevel"/>
    <w:tmpl w:val="BCF8191C"/>
    <w:lvl w:ilvl="0" w:tplc="F9F00986">
      <w:start w:val="1"/>
      <w:numFmt w:val="decimal"/>
      <w:lvlText w:val="（%1）"/>
      <w:lvlJc w:val="left"/>
      <w:pPr>
        <w:ind w:left="847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4">
    <w:nsid w:val="45727A20"/>
    <w:multiLevelType w:val="hybridMultilevel"/>
    <w:tmpl w:val="2722C400"/>
    <w:lvl w:ilvl="0" w:tplc="C6DA45C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5">
    <w:nsid w:val="514E7360"/>
    <w:multiLevelType w:val="hybridMultilevel"/>
    <w:tmpl w:val="4EB84BE2"/>
    <w:lvl w:ilvl="0" w:tplc="DF929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F56D38"/>
    <w:multiLevelType w:val="hybridMultilevel"/>
    <w:tmpl w:val="DBFE4AB6"/>
    <w:lvl w:ilvl="0" w:tplc="2C2E382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7">
    <w:nsid w:val="5B411770"/>
    <w:multiLevelType w:val="hybridMultilevel"/>
    <w:tmpl w:val="61A67522"/>
    <w:lvl w:ilvl="0" w:tplc="6F34B1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5E273BA0"/>
    <w:multiLevelType w:val="hybridMultilevel"/>
    <w:tmpl w:val="1B90E0FE"/>
    <w:lvl w:ilvl="0" w:tplc="252463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6819501C"/>
    <w:multiLevelType w:val="hybridMultilevel"/>
    <w:tmpl w:val="5DDA0912"/>
    <w:lvl w:ilvl="0" w:tplc="060C7C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74664479"/>
    <w:multiLevelType w:val="hybridMultilevel"/>
    <w:tmpl w:val="8176FB94"/>
    <w:lvl w:ilvl="0" w:tplc="6B1ED5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9265" style="mso-position-horizontal:center;mso-height-percent:200;mso-width-relative:margin;mso-height-relative:margin" fillcolor="white" strokecolor="#0070c0">
      <v:fill color="white"/>
      <v:stroke color="#0070c0" weight="6pt" linestyle="thickBetweenThin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B"/>
    <w:rsid w:val="00003AD5"/>
    <w:rsid w:val="00004220"/>
    <w:rsid w:val="00005FCF"/>
    <w:rsid w:val="00011DA0"/>
    <w:rsid w:val="00020029"/>
    <w:rsid w:val="00022A6F"/>
    <w:rsid w:val="000341CF"/>
    <w:rsid w:val="0003582C"/>
    <w:rsid w:val="000375B2"/>
    <w:rsid w:val="00056A0F"/>
    <w:rsid w:val="00062F65"/>
    <w:rsid w:val="000825B8"/>
    <w:rsid w:val="000A3208"/>
    <w:rsid w:val="000B7245"/>
    <w:rsid w:val="000E4016"/>
    <w:rsid w:val="000E483D"/>
    <w:rsid w:val="000F1001"/>
    <w:rsid w:val="000F3058"/>
    <w:rsid w:val="00104718"/>
    <w:rsid w:val="0011694C"/>
    <w:rsid w:val="00116C48"/>
    <w:rsid w:val="0013053A"/>
    <w:rsid w:val="001331AE"/>
    <w:rsid w:val="0014405D"/>
    <w:rsid w:val="00151F80"/>
    <w:rsid w:val="0015502F"/>
    <w:rsid w:val="00156785"/>
    <w:rsid w:val="00182ED2"/>
    <w:rsid w:val="00184845"/>
    <w:rsid w:val="001854B4"/>
    <w:rsid w:val="00185EF7"/>
    <w:rsid w:val="00191882"/>
    <w:rsid w:val="00196166"/>
    <w:rsid w:val="00197D0D"/>
    <w:rsid w:val="001B214A"/>
    <w:rsid w:val="001B398E"/>
    <w:rsid w:val="001C08D9"/>
    <w:rsid w:val="001C4048"/>
    <w:rsid w:val="001F23E3"/>
    <w:rsid w:val="001F27DA"/>
    <w:rsid w:val="001F7FF5"/>
    <w:rsid w:val="00201517"/>
    <w:rsid w:val="00201E9E"/>
    <w:rsid w:val="002049F0"/>
    <w:rsid w:val="0021592E"/>
    <w:rsid w:val="00217B7D"/>
    <w:rsid w:val="0022063C"/>
    <w:rsid w:val="00231107"/>
    <w:rsid w:val="002738AB"/>
    <w:rsid w:val="00274E06"/>
    <w:rsid w:val="002758F0"/>
    <w:rsid w:val="002A11EA"/>
    <w:rsid w:val="002A5950"/>
    <w:rsid w:val="002A5B85"/>
    <w:rsid w:val="002B2D99"/>
    <w:rsid w:val="002B7110"/>
    <w:rsid w:val="002D2343"/>
    <w:rsid w:val="002F1F72"/>
    <w:rsid w:val="003010E5"/>
    <w:rsid w:val="00302A09"/>
    <w:rsid w:val="00305064"/>
    <w:rsid w:val="0031570B"/>
    <w:rsid w:val="00315CFC"/>
    <w:rsid w:val="003177E3"/>
    <w:rsid w:val="00331719"/>
    <w:rsid w:val="0033295A"/>
    <w:rsid w:val="00340F09"/>
    <w:rsid w:val="00370864"/>
    <w:rsid w:val="003708FB"/>
    <w:rsid w:val="00375A90"/>
    <w:rsid w:val="003806EC"/>
    <w:rsid w:val="00387865"/>
    <w:rsid w:val="003A651B"/>
    <w:rsid w:val="003A6E0E"/>
    <w:rsid w:val="003C6D47"/>
    <w:rsid w:val="003D66DA"/>
    <w:rsid w:val="003E1ECA"/>
    <w:rsid w:val="003F4A1E"/>
    <w:rsid w:val="003F4A29"/>
    <w:rsid w:val="0040089B"/>
    <w:rsid w:val="004117E8"/>
    <w:rsid w:val="0042387E"/>
    <w:rsid w:val="00431CC5"/>
    <w:rsid w:val="00443757"/>
    <w:rsid w:val="0044639D"/>
    <w:rsid w:val="0045186F"/>
    <w:rsid w:val="0046084B"/>
    <w:rsid w:val="00476D42"/>
    <w:rsid w:val="00483217"/>
    <w:rsid w:val="00486559"/>
    <w:rsid w:val="00497376"/>
    <w:rsid w:val="004A2FA1"/>
    <w:rsid w:val="004C340B"/>
    <w:rsid w:val="004D290F"/>
    <w:rsid w:val="004D3640"/>
    <w:rsid w:val="004E67EB"/>
    <w:rsid w:val="004F45FA"/>
    <w:rsid w:val="00516F31"/>
    <w:rsid w:val="005212D3"/>
    <w:rsid w:val="00541A8C"/>
    <w:rsid w:val="00552194"/>
    <w:rsid w:val="005801D4"/>
    <w:rsid w:val="00585F2E"/>
    <w:rsid w:val="0059136F"/>
    <w:rsid w:val="00595569"/>
    <w:rsid w:val="005A4389"/>
    <w:rsid w:val="005A446C"/>
    <w:rsid w:val="005C2ED4"/>
    <w:rsid w:val="005C3CCB"/>
    <w:rsid w:val="005F1BFC"/>
    <w:rsid w:val="005F2A6F"/>
    <w:rsid w:val="006013FE"/>
    <w:rsid w:val="00603F53"/>
    <w:rsid w:val="006041CF"/>
    <w:rsid w:val="00625931"/>
    <w:rsid w:val="00640187"/>
    <w:rsid w:val="00663D94"/>
    <w:rsid w:val="00670FBC"/>
    <w:rsid w:val="00674830"/>
    <w:rsid w:val="00676481"/>
    <w:rsid w:val="00690D5D"/>
    <w:rsid w:val="006A0B0A"/>
    <w:rsid w:val="006B20B9"/>
    <w:rsid w:val="006D615D"/>
    <w:rsid w:val="006E7441"/>
    <w:rsid w:val="006F1C27"/>
    <w:rsid w:val="006F3AE2"/>
    <w:rsid w:val="00702F0A"/>
    <w:rsid w:val="00706EEC"/>
    <w:rsid w:val="00711738"/>
    <w:rsid w:val="007118DD"/>
    <w:rsid w:val="00721FA4"/>
    <w:rsid w:val="00726C64"/>
    <w:rsid w:val="00726FA3"/>
    <w:rsid w:val="007342CD"/>
    <w:rsid w:val="007352E4"/>
    <w:rsid w:val="00743C5F"/>
    <w:rsid w:val="00746F61"/>
    <w:rsid w:val="00752E13"/>
    <w:rsid w:val="007701F2"/>
    <w:rsid w:val="00770C71"/>
    <w:rsid w:val="007735AB"/>
    <w:rsid w:val="00785B9F"/>
    <w:rsid w:val="00787153"/>
    <w:rsid w:val="007A5622"/>
    <w:rsid w:val="007B32C9"/>
    <w:rsid w:val="007B58D4"/>
    <w:rsid w:val="007D5ACA"/>
    <w:rsid w:val="007F08D1"/>
    <w:rsid w:val="007F1BBD"/>
    <w:rsid w:val="008014F3"/>
    <w:rsid w:val="008100B0"/>
    <w:rsid w:val="008166F3"/>
    <w:rsid w:val="008228CB"/>
    <w:rsid w:val="008275F7"/>
    <w:rsid w:val="0083151E"/>
    <w:rsid w:val="008357D1"/>
    <w:rsid w:val="008361CF"/>
    <w:rsid w:val="00837650"/>
    <w:rsid w:val="00846BD2"/>
    <w:rsid w:val="00865634"/>
    <w:rsid w:val="008725A6"/>
    <w:rsid w:val="008741CB"/>
    <w:rsid w:val="00882EF2"/>
    <w:rsid w:val="00885987"/>
    <w:rsid w:val="008911F8"/>
    <w:rsid w:val="008B1467"/>
    <w:rsid w:val="008B239E"/>
    <w:rsid w:val="008C1577"/>
    <w:rsid w:val="008D0AF9"/>
    <w:rsid w:val="008D7E82"/>
    <w:rsid w:val="008F28CA"/>
    <w:rsid w:val="00904829"/>
    <w:rsid w:val="00916238"/>
    <w:rsid w:val="009275C2"/>
    <w:rsid w:val="00933029"/>
    <w:rsid w:val="00933F8B"/>
    <w:rsid w:val="009366A0"/>
    <w:rsid w:val="00943EAA"/>
    <w:rsid w:val="00952EF0"/>
    <w:rsid w:val="00956E25"/>
    <w:rsid w:val="009614F8"/>
    <w:rsid w:val="009622D4"/>
    <w:rsid w:val="0096332E"/>
    <w:rsid w:val="009771FF"/>
    <w:rsid w:val="0098506E"/>
    <w:rsid w:val="009A2949"/>
    <w:rsid w:val="009B59DC"/>
    <w:rsid w:val="009B7E12"/>
    <w:rsid w:val="00A07E46"/>
    <w:rsid w:val="00A1019D"/>
    <w:rsid w:val="00A351A4"/>
    <w:rsid w:val="00A4082E"/>
    <w:rsid w:val="00A41434"/>
    <w:rsid w:val="00A42FFF"/>
    <w:rsid w:val="00A57694"/>
    <w:rsid w:val="00A655EC"/>
    <w:rsid w:val="00A668CD"/>
    <w:rsid w:val="00A759B1"/>
    <w:rsid w:val="00A83B20"/>
    <w:rsid w:val="00A852E6"/>
    <w:rsid w:val="00A87355"/>
    <w:rsid w:val="00A9418D"/>
    <w:rsid w:val="00AA0582"/>
    <w:rsid w:val="00AA4698"/>
    <w:rsid w:val="00AC5C74"/>
    <w:rsid w:val="00AC653B"/>
    <w:rsid w:val="00AD181A"/>
    <w:rsid w:val="00AD2AB9"/>
    <w:rsid w:val="00AE5701"/>
    <w:rsid w:val="00AE6686"/>
    <w:rsid w:val="00B07DE9"/>
    <w:rsid w:val="00B151FB"/>
    <w:rsid w:val="00B1771C"/>
    <w:rsid w:val="00B24D0A"/>
    <w:rsid w:val="00B272DE"/>
    <w:rsid w:val="00B3116A"/>
    <w:rsid w:val="00B341B9"/>
    <w:rsid w:val="00B36A56"/>
    <w:rsid w:val="00B456C6"/>
    <w:rsid w:val="00B46035"/>
    <w:rsid w:val="00B52415"/>
    <w:rsid w:val="00B61C83"/>
    <w:rsid w:val="00B66CFA"/>
    <w:rsid w:val="00B77BBC"/>
    <w:rsid w:val="00B82C6C"/>
    <w:rsid w:val="00B8680D"/>
    <w:rsid w:val="00B91699"/>
    <w:rsid w:val="00BA12C5"/>
    <w:rsid w:val="00BA45F7"/>
    <w:rsid w:val="00BA6A2A"/>
    <w:rsid w:val="00BB4E35"/>
    <w:rsid w:val="00BC4476"/>
    <w:rsid w:val="00BD1B6C"/>
    <w:rsid w:val="00BE4E19"/>
    <w:rsid w:val="00BE7BE6"/>
    <w:rsid w:val="00BF30A9"/>
    <w:rsid w:val="00BF428E"/>
    <w:rsid w:val="00BF7A68"/>
    <w:rsid w:val="00C03ECB"/>
    <w:rsid w:val="00C05C9F"/>
    <w:rsid w:val="00C13B18"/>
    <w:rsid w:val="00C223B6"/>
    <w:rsid w:val="00C24610"/>
    <w:rsid w:val="00C50451"/>
    <w:rsid w:val="00C638D0"/>
    <w:rsid w:val="00C71F97"/>
    <w:rsid w:val="00C803CE"/>
    <w:rsid w:val="00C96072"/>
    <w:rsid w:val="00CC2DC3"/>
    <w:rsid w:val="00CD7949"/>
    <w:rsid w:val="00CE0EE8"/>
    <w:rsid w:val="00D16063"/>
    <w:rsid w:val="00D20877"/>
    <w:rsid w:val="00D31BA8"/>
    <w:rsid w:val="00D363B1"/>
    <w:rsid w:val="00D46C99"/>
    <w:rsid w:val="00D55EFD"/>
    <w:rsid w:val="00D67677"/>
    <w:rsid w:val="00D858B0"/>
    <w:rsid w:val="00D972FB"/>
    <w:rsid w:val="00DA6115"/>
    <w:rsid w:val="00DB0876"/>
    <w:rsid w:val="00DC13BB"/>
    <w:rsid w:val="00DD23AA"/>
    <w:rsid w:val="00DD58B9"/>
    <w:rsid w:val="00DE0D94"/>
    <w:rsid w:val="00DE59D9"/>
    <w:rsid w:val="00DF77B6"/>
    <w:rsid w:val="00E04711"/>
    <w:rsid w:val="00E165AF"/>
    <w:rsid w:val="00E24824"/>
    <w:rsid w:val="00E26D23"/>
    <w:rsid w:val="00E455BF"/>
    <w:rsid w:val="00E45FBB"/>
    <w:rsid w:val="00E46306"/>
    <w:rsid w:val="00E545BD"/>
    <w:rsid w:val="00E619DC"/>
    <w:rsid w:val="00E620AC"/>
    <w:rsid w:val="00E67EDB"/>
    <w:rsid w:val="00E84FC6"/>
    <w:rsid w:val="00E920BF"/>
    <w:rsid w:val="00EA261D"/>
    <w:rsid w:val="00EA3B43"/>
    <w:rsid w:val="00ED4A59"/>
    <w:rsid w:val="00ED6091"/>
    <w:rsid w:val="00EE4A65"/>
    <w:rsid w:val="00EE6A92"/>
    <w:rsid w:val="00F02F5E"/>
    <w:rsid w:val="00F07392"/>
    <w:rsid w:val="00F15E89"/>
    <w:rsid w:val="00F16DEF"/>
    <w:rsid w:val="00F30010"/>
    <w:rsid w:val="00F33DBC"/>
    <w:rsid w:val="00F415C2"/>
    <w:rsid w:val="00F6254A"/>
    <w:rsid w:val="00F63CF5"/>
    <w:rsid w:val="00F77C00"/>
    <w:rsid w:val="00F80170"/>
    <w:rsid w:val="00FB4DF7"/>
    <w:rsid w:val="00FC0492"/>
    <w:rsid w:val="00FD6F29"/>
    <w:rsid w:val="00FF0B20"/>
    <w:rsid w:val="00FF178F"/>
    <w:rsid w:val="00FF439B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 style="mso-position-horizontal:center;mso-height-percent:200;mso-width-relative:margin;mso-height-relative:margin" fillcolor="white" strokecolor="#0070c0">
      <v:fill color="white"/>
      <v:stroke color="#0070c0" weight="6pt" linestyle="thickBetweenThin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A3"/>
    <w:pPr>
      <w:ind w:leftChars="200" w:left="480"/>
    </w:pPr>
  </w:style>
  <w:style w:type="paragraph" w:styleId="a4">
    <w:name w:val="header"/>
    <w:basedOn w:val="a"/>
    <w:link w:val="a5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42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FFF"/>
    <w:rPr>
      <w:sz w:val="20"/>
      <w:szCs w:val="20"/>
    </w:rPr>
  </w:style>
  <w:style w:type="table" w:styleId="a8">
    <w:name w:val="Table Grid"/>
    <w:basedOn w:val="a1"/>
    <w:uiPriority w:val="59"/>
    <w:rsid w:val="00476D42"/>
    <w:pPr>
      <w:ind w:left="567" w:hanging="567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1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1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E6063-071A-4D06-A394-B4EFA829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271</Words>
  <Characters>1545</Characters>
  <Application>Microsoft Office Word</Application>
  <DocSecurity>0</DocSecurity>
  <Lines>12</Lines>
  <Paragraphs>3</Paragraphs>
  <ScaleCrop>false</ScaleCrop>
  <Company>CDIC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c137</dc:creator>
  <cp:lastModifiedBy>c279</cp:lastModifiedBy>
  <cp:revision>10</cp:revision>
  <cp:lastPrinted>2020-07-30T06:46:00Z</cp:lastPrinted>
  <dcterms:created xsi:type="dcterms:W3CDTF">2020-06-23T01:33:00Z</dcterms:created>
  <dcterms:modified xsi:type="dcterms:W3CDTF">2020-07-30T06:47:00Z</dcterms:modified>
</cp:coreProperties>
</file>