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D" w:rsidRPr="00774012" w:rsidRDefault="004E67EB" w:rsidP="003B3F7C">
      <w:pPr>
        <w:spacing w:line="460" w:lineRule="exact"/>
        <w:ind w:left="284" w:hanging="284"/>
        <w:jc w:val="center"/>
        <w:rPr>
          <w:rFonts w:ascii="標楷體" w:eastAsia="標楷體" w:hAnsi="標楷體"/>
          <w:b/>
          <w:sz w:val="28"/>
          <w:szCs w:val="28"/>
        </w:rPr>
      </w:pPr>
      <w:r w:rsidRPr="00774012">
        <w:rPr>
          <w:rFonts w:ascii="標楷體" w:eastAsia="標楷體" w:hAnsi="標楷體"/>
          <w:b/>
          <w:sz w:val="28"/>
          <w:szCs w:val="28"/>
        </w:rPr>
        <w:t>風險指標資料</w:t>
      </w:r>
      <w:r w:rsidRPr="00774012">
        <w:rPr>
          <w:rFonts w:ascii="標楷體" w:eastAsia="標楷體" w:hAnsi="標楷體" w:hint="eastAsia"/>
          <w:b/>
          <w:sz w:val="28"/>
          <w:szCs w:val="28"/>
        </w:rPr>
        <w:t>查核缺失態樣</w:t>
      </w:r>
      <w:r w:rsidR="00DF287D" w:rsidRPr="00774012">
        <w:rPr>
          <w:rFonts w:ascii="標楷體" w:eastAsia="標楷體" w:hAnsi="標楷體" w:hint="eastAsia"/>
          <w:b/>
          <w:sz w:val="28"/>
          <w:szCs w:val="28"/>
        </w:rPr>
        <w:t>（10</w:t>
      </w:r>
      <w:r w:rsidR="000A7041">
        <w:rPr>
          <w:rFonts w:ascii="標楷體" w:eastAsia="標楷體" w:hAnsi="標楷體" w:hint="eastAsia"/>
          <w:b/>
          <w:sz w:val="28"/>
          <w:szCs w:val="28"/>
        </w:rPr>
        <w:t>5</w:t>
      </w:r>
      <w:r w:rsidR="00DF287D" w:rsidRPr="00774012">
        <w:rPr>
          <w:rFonts w:ascii="標楷體" w:eastAsia="標楷體" w:hAnsi="標楷體" w:hint="eastAsia"/>
          <w:b/>
          <w:sz w:val="28"/>
          <w:szCs w:val="28"/>
        </w:rPr>
        <w:t>年</w:t>
      </w:r>
      <w:r w:rsidR="000A7041">
        <w:rPr>
          <w:rFonts w:ascii="標楷體" w:eastAsia="標楷體" w:hAnsi="標楷體" w:hint="eastAsia"/>
          <w:b/>
          <w:sz w:val="28"/>
          <w:szCs w:val="28"/>
        </w:rPr>
        <w:t>上</w:t>
      </w:r>
      <w:r w:rsidR="000A0EF2" w:rsidRPr="00774012">
        <w:rPr>
          <w:rFonts w:ascii="標楷體" w:eastAsia="標楷體" w:hAnsi="標楷體" w:hint="eastAsia"/>
          <w:b/>
          <w:sz w:val="28"/>
          <w:szCs w:val="28"/>
        </w:rPr>
        <w:t>半年</w:t>
      </w:r>
      <w:r w:rsidR="00DF287D" w:rsidRPr="00774012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4E67EB" w:rsidRPr="00774012" w:rsidRDefault="00DF287D" w:rsidP="003B3F7C">
      <w:pPr>
        <w:spacing w:line="460" w:lineRule="exact"/>
        <w:ind w:left="284" w:hanging="284"/>
        <w:jc w:val="center"/>
        <w:rPr>
          <w:rFonts w:ascii="標楷體" w:eastAsia="標楷體" w:hAnsi="標楷體"/>
          <w:b/>
          <w:sz w:val="28"/>
          <w:szCs w:val="28"/>
        </w:rPr>
      </w:pPr>
      <w:r w:rsidRPr="00774012">
        <w:rPr>
          <w:rFonts w:ascii="標楷體" w:eastAsia="標楷體" w:hAnsi="標楷體" w:hint="eastAsia"/>
          <w:b/>
          <w:sz w:val="28"/>
          <w:szCs w:val="28"/>
        </w:rPr>
        <w:t>金融機構類別：信用合作社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E02E75" w:rsidTr="000A7041">
        <w:trPr>
          <w:trHeight w:val="2800"/>
        </w:trPr>
        <w:tc>
          <w:tcPr>
            <w:tcW w:w="8372" w:type="dxa"/>
          </w:tcPr>
          <w:p w:rsidR="008D0AF9" w:rsidRPr="000A7041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態樣</w:t>
            </w:r>
            <w:proofErr w:type="gramStart"/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D0AF9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應予評估資產申報及分類錯誤：</w:t>
            </w:r>
          </w:p>
          <w:p w:rsidR="00D20D79" w:rsidRPr="000A7041" w:rsidRDefault="008D0AF9" w:rsidP="000A7041">
            <w:pPr>
              <w:spacing w:line="460" w:lineRule="exact"/>
              <w:ind w:left="1134" w:firstLine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借戶</w:t>
            </w:r>
            <w:r w:rsidR="00564A35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本金雖未超逾清償期，惟已對主、從債務人</w:t>
            </w:r>
            <w:proofErr w:type="gramStart"/>
            <w:r w:rsidR="00564A35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訴追或處分</w:t>
            </w:r>
            <w:proofErr w:type="gramEnd"/>
            <w:r w:rsidR="00564A35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擔保品，或為他人之保證人，他人借款已為呆帳戶，或</w:t>
            </w:r>
            <w:proofErr w:type="gramStart"/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擔保品遭第三</w:t>
            </w:r>
            <w:proofErr w:type="gramEnd"/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人強制執行</w:t>
            </w:r>
            <w:r w:rsidR="00564A35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，或</w:t>
            </w:r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票據遭受拒絕往來戶處分</w:t>
            </w:r>
            <w:r w:rsidR="00564A35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</w:t>
            </w:r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或前置</w:t>
            </w:r>
            <w:proofErr w:type="gramStart"/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協商等債信</w:t>
            </w:r>
            <w:proofErr w:type="gramEnd"/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不良情形者，及其應提列之應收利息，未</w:t>
            </w:r>
            <w:r w:rsidR="006D1C41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列</w:t>
            </w:r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為應予注意（Ⅱ類）。</w:t>
            </w:r>
          </w:p>
          <w:p w:rsidR="000A7041" w:rsidRPr="000A7041" w:rsidRDefault="000A7041" w:rsidP="000A7041">
            <w:pPr>
              <w:spacing w:line="460" w:lineRule="exact"/>
              <w:ind w:left="1134" w:firstLine="0"/>
              <w:jc w:val="both"/>
              <w:rPr>
                <w:rFonts w:hAnsi="標楷體"/>
                <w:b/>
                <w:color w:val="FF0000"/>
                <w:szCs w:val="28"/>
              </w:rPr>
            </w:pPr>
          </w:p>
        </w:tc>
      </w:tr>
    </w:tbl>
    <w:p w:rsidR="004E67EB" w:rsidRPr="00774012" w:rsidRDefault="004E67EB" w:rsidP="00BA3A03">
      <w:pPr>
        <w:spacing w:line="460" w:lineRule="exact"/>
        <w:ind w:leftChars="200" w:left="1756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t>改善作法：</w:t>
      </w:r>
    </w:p>
    <w:p w:rsidR="008D0AF9" w:rsidRPr="00774012" w:rsidRDefault="008D0AF9" w:rsidP="00BA3A03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774012" w:rsidRDefault="008D0AF9" w:rsidP="00BA3A03">
      <w:pPr>
        <w:spacing w:line="460" w:lineRule="exact"/>
        <w:ind w:leftChars="308" w:left="742" w:hangingChars="1" w:hanging="3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信用合作社資產評估損失準備提列及逾期放款催收款呆帳處理辦法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774012" w:rsidRDefault="008D0AF9" w:rsidP="00BA3A03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2.依規定填報並落實複核機制。</w:t>
      </w:r>
    </w:p>
    <w:p w:rsidR="00431CC5" w:rsidRDefault="008D0AF9" w:rsidP="000A7041">
      <w:pPr>
        <w:spacing w:line="460" w:lineRule="exact"/>
        <w:ind w:leftChars="200" w:left="1756" w:hanging="1276"/>
        <w:jc w:val="both"/>
        <w:rPr>
          <w:rFonts w:ascii="標楷體" w:eastAsia="標楷體" w:hAnsi="標楷體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0A7041" w:rsidRDefault="000A7041" w:rsidP="000A7041">
      <w:pPr>
        <w:spacing w:line="460" w:lineRule="exact"/>
        <w:ind w:left="1693" w:hanging="1693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0A7041" w:rsidRPr="009A3C49" w:rsidTr="000A7041">
        <w:trPr>
          <w:trHeight w:val="1156"/>
        </w:trPr>
        <w:tc>
          <w:tcPr>
            <w:tcW w:w="8372" w:type="dxa"/>
          </w:tcPr>
          <w:p w:rsidR="000A7041" w:rsidRPr="00BE6855" w:rsidRDefault="000A7041" w:rsidP="000A7041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態樣二</w:t>
            </w:r>
            <w:r w:rsidRPr="009A3C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  <w:r w:rsidRPr="00BE6855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資本適足率申報內容，合格</w:t>
            </w:r>
            <w:r w:rsidR="0056554C">
              <w:rPr>
                <w:rFonts w:ascii="標楷體" w:eastAsia="標楷體" w:hAnsi="標楷體" w:hint="eastAsia"/>
                <w:b/>
                <w:sz w:val="28"/>
                <w:szCs w:val="28"/>
              </w:rPr>
              <w:t>自有</w:t>
            </w:r>
            <w:r w:rsidRPr="00BE685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資本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計算錯誤</w:t>
            </w:r>
            <w:r w:rsidRPr="00BE685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  <w:p w:rsidR="000A7041" w:rsidRPr="00BE6855" w:rsidRDefault="000A7041" w:rsidP="000A7041">
            <w:pPr>
              <w:numPr>
                <w:ilvl w:val="0"/>
                <w:numId w:val="2"/>
              </w:numPr>
              <w:spacing w:line="460" w:lineRule="exact"/>
              <w:ind w:left="1446" w:hanging="326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8D0931">
              <w:rPr>
                <w:rFonts w:ascii="標楷體" w:eastAsia="標楷體" w:hAnsi="標楷體" w:hint="eastAsia"/>
                <w:b/>
                <w:sz w:val="28"/>
                <w:szCs w:val="28"/>
              </w:rPr>
              <w:t>普通股權益法定調整項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  <w:r w:rsidRPr="008D0931">
              <w:rPr>
                <w:rFonts w:ascii="標楷體" w:eastAsia="標楷體" w:hAnsi="標楷體" w:hint="eastAsia"/>
                <w:b/>
                <w:sz w:val="28"/>
                <w:szCs w:val="28"/>
              </w:rPr>
              <w:t>之備供出售金融資產未實現利益，誤以未實現利益及未實現損失互抵後淨額填列，未以全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  <w:r w:rsidRPr="008D0931">
              <w:rPr>
                <w:rFonts w:ascii="標楷體" w:eastAsia="標楷體" w:hAnsi="標楷體" w:hint="eastAsia"/>
                <w:b/>
                <w:sz w:val="28"/>
                <w:szCs w:val="28"/>
              </w:rPr>
              <w:t>利益金額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計算</w:t>
            </w:r>
            <w:r w:rsidRPr="008D0931">
              <w:rPr>
                <w:rFonts w:ascii="標楷體" w:eastAsia="標楷體" w:hAnsi="標楷體" w:hint="eastAsia"/>
                <w:b/>
                <w:sz w:val="28"/>
                <w:szCs w:val="28"/>
              </w:rPr>
              <w:t>，致第一類資本及第二類資本申報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錯</w:t>
            </w:r>
            <w:r w:rsidRPr="008D0931">
              <w:rPr>
                <w:rFonts w:ascii="標楷體" w:eastAsia="標楷體" w:hAnsi="標楷體" w:hint="eastAsia"/>
                <w:b/>
                <w:sz w:val="28"/>
                <w:szCs w:val="28"/>
              </w:rPr>
              <w:t>誤。</w:t>
            </w:r>
          </w:p>
          <w:p w:rsidR="000A7041" w:rsidRPr="000A7041" w:rsidRDefault="000A7041" w:rsidP="000A7041">
            <w:pPr>
              <w:numPr>
                <w:ilvl w:val="0"/>
                <w:numId w:val="2"/>
              </w:numPr>
              <w:spacing w:line="460" w:lineRule="exact"/>
              <w:ind w:left="1446" w:hanging="326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E6855">
              <w:rPr>
                <w:rFonts w:ascii="標楷體" w:eastAsia="標楷體" w:hAnsi="標楷體"/>
                <w:b/>
                <w:color w:val="000000"/>
                <w:sz w:val="28"/>
              </w:rPr>
              <w:t>風險性資產總額少列，</w:t>
            </w:r>
            <w:proofErr w:type="gramStart"/>
            <w:r w:rsidRPr="00BE6855">
              <w:rPr>
                <w:rFonts w:ascii="標楷體" w:eastAsia="標楷體" w:hAnsi="標楷體"/>
                <w:b/>
                <w:color w:val="000000"/>
                <w:sz w:val="28"/>
              </w:rPr>
              <w:t>致得列入</w:t>
            </w:r>
            <w:proofErr w:type="gramEnd"/>
            <w:r w:rsidRPr="00BE6855">
              <w:rPr>
                <w:rFonts w:ascii="標楷體" w:eastAsia="標楷體" w:hAnsi="標楷體"/>
                <w:b/>
                <w:color w:val="000000"/>
                <w:sz w:val="28"/>
              </w:rPr>
              <w:t>第二類資本之備抵呆帳(風險性資產總額之1.25％)少列。</w:t>
            </w:r>
          </w:p>
          <w:p w:rsidR="000A7041" w:rsidRPr="00BE6855" w:rsidRDefault="000A7041" w:rsidP="000A7041">
            <w:pPr>
              <w:spacing w:line="460" w:lineRule="exact"/>
              <w:ind w:left="11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0A7041" w:rsidRPr="000A7041" w:rsidRDefault="000A7041" w:rsidP="000A7041">
      <w:pPr>
        <w:spacing w:line="460" w:lineRule="exact"/>
        <w:ind w:left="1276" w:hanging="1276"/>
        <w:rPr>
          <w:rFonts w:ascii="標楷體" w:eastAsia="標楷體" w:hAnsi="標楷體"/>
          <w:b/>
          <w:color w:val="000000" w:themeColor="text1"/>
          <w:spacing w:val="-14"/>
          <w:sz w:val="28"/>
          <w:szCs w:val="28"/>
        </w:rPr>
      </w:pPr>
      <w:r w:rsidRPr="000A7041">
        <w:rPr>
          <w:rFonts w:ascii="標楷體" w:eastAsia="標楷體" w:hAnsi="標楷體" w:hint="eastAsia"/>
          <w:b/>
          <w:color w:val="000000" w:themeColor="text1"/>
          <w:spacing w:val="-14"/>
          <w:sz w:val="28"/>
          <w:szCs w:val="28"/>
        </w:rPr>
        <w:t>改善作法：</w:t>
      </w:r>
    </w:p>
    <w:p w:rsidR="000A7041" w:rsidRPr="00774012" w:rsidRDefault="000A7041" w:rsidP="000A7041">
      <w:pPr>
        <w:spacing w:line="460" w:lineRule="exact"/>
        <w:ind w:leftChars="200" w:left="1756" w:hanging="1276"/>
        <w:jc w:val="both"/>
        <w:rPr>
          <w:rFonts w:ascii="標楷體" w:eastAsia="標楷體" w:hAnsi="標楷體"/>
          <w:spacing w:val="-14"/>
          <w:sz w:val="28"/>
          <w:szCs w:val="28"/>
        </w:rPr>
      </w:pPr>
      <w:r w:rsidRPr="00774012">
        <w:rPr>
          <w:rFonts w:ascii="標楷體" w:eastAsia="標楷體" w:hAnsi="標楷體" w:hint="eastAsia"/>
          <w:spacing w:val="-14"/>
          <w:sz w:val="28"/>
          <w:szCs w:val="28"/>
        </w:rPr>
        <w:t>1.參考法規：</w:t>
      </w:r>
    </w:p>
    <w:p w:rsidR="000A7041" w:rsidRPr="00774012" w:rsidRDefault="000A7041" w:rsidP="000A7041">
      <w:pPr>
        <w:spacing w:line="460" w:lineRule="exact"/>
        <w:ind w:leftChars="308" w:left="742" w:hangingChars="1" w:hanging="3"/>
        <w:jc w:val="both"/>
        <w:rPr>
          <w:rFonts w:ascii="標楷體" w:eastAsia="標楷體" w:hAnsi="標楷體"/>
          <w:spacing w:val="-14"/>
          <w:sz w:val="28"/>
          <w:szCs w:val="28"/>
        </w:rPr>
      </w:pPr>
      <w:r w:rsidRPr="00774012">
        <w:rPr>
          <w:rFonts w:ascii="標楷體" w:eastAsia="標楷體" w:hAnsi="標楷體" w:hint="eastAsia"/>
          <w:spacing w:val="-14"/>
          <w:sz w:val="28"/>
          <w:szCs w:val="28"/>
        </w:rPr>
        <w:t>信用合作社</w:t>
      </w:r>
      <w:proofErr w:type="gramStart"/>
      <w:r w:rsidRPr="00774012">
        <w:rPr>
          <w:rFonts w:ascii="標楷體" w:eastAsia="標楷體" w:hAnsi="標楷體" w:hint="eastAsia"/>
          <w:spacing w:val="-14"/>
          <w:sz w:val="28"/>
          <w:szCs w:val="28"/>
        </w:rPr>
        <w:t>採行新巴塞</w:t>
      </w:r>
      <w:proofErr w:type="gramEnd"/>
      <w:r w:rsidRPr="00774012">
        <w:rPr>
          <w:rFonts w:ascii="標楷體" w:eastAsia="標楷體" w:hAnsi="標楷體" w:hint="eastAsia"/>
          <w:spacing w:val="-14"/>
          <w:sz w:val="28"/>
          <w:szCs w:val="28"/>
        </w:rPr>
        <w:t>爾資本協定簡易標準法自有資本與風險性資產計算方法說明。</w:t>
      </w:r>
    </w:p>
    <w:p w:rsidR="000A7041" w:rsidRPr="00774012" w:rsidRDefault="000A7041" w:rsidP="000A7041">
      <w:pPr>
        <w:spacing w:line="460" w:lineRule="exact"/>
        <w:ind w:leftChars="200" w:left="1756" w:hanging="1276"/>
        <w:jc w:val="both"/>
        <w:rPr>
          <w:rFonts w:ascii="標楷體" w:eastAsia="標楷體" w:hAnsi="標楷體"/>
          <w:spacing w:val="-14"/>
          <w:sz w:val="28"/>
          <w:szCs w:val="28"/>
        </w:rPr>
      </w:pPr>
      <w:r w:rsidRPr="00774012">
        <w:rPr>
          <w:rFonts w:ascii="標楷體" w:eastAsia="標楷體" w:hAnsi="標楷體" w:hint="eastAsia"/>
          <w:spacing w:val="-14"/>
          <w:sz w:val="28"/>
          <w:szCs w:val="28"/>
        </w:rPr>
        <w:t>2.正確建檔並依規定填報及落實複核機制。</w:t>
      </w:r>
    </w:p>
    <w:p w:rsidR="000A7041" w:rsidRDefault="000A7041" w:rsidP="000A7041">
      <w:pPr>
        <w:spacing w:line="460" w:lineRule="exact"/>
        <w:ind w:leftChars="200" w:left="1756" w:hanging="1276"/>
        <w:jc w:val="both"/>
        <w:rPr>
          <w:rFonts w:ascii="標楷體" w:eastAsia="標楷體" w:hAnsi="標楷體"/>
          <w:spacing w:val="-14"/>
          <w:sz w:val="28"/>
          <w:szCs w:val="28"/>
        </w:rPr>
      </w:pPr>
      <w:r w:rsidRPr="00774012">
        <w:rPr>
          <w:rFonts w:ascii="標楷體" w:eastAsia="標楷體" w:hAnsi="標楷體" w:hint="eastAsia"/>
          <w:spacing w:val="-14"/>
          <w:sz w:val="28"/>
          <w:szCs w:val="28"/>
        </w:rPr>
        <w:t>3.內部稽核將申報資料正確性列為查核重點。</w:t>
      </w:r>
    </w:p>
    <w:p w:rsidR="000A7041" w:rsidRPr="000A7041" w:rsidRDefault="000A7041" w:rsidP="00431CC5">
      <w:pPr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6076CC" w:rsidTr="00BA3A03">
        <w:trPr>
          <w:trHeight w:val="589"/>
        </w:trPr>
        <w:tc>
          <w:tcPr>
            <w:tcW w:w="8372" w:type="dxa"/>
          </w:tcPr>
          <w:p w:rsidR="008D0AF9" w:rsidRPr="000A7041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態樣</w:t>
            </w:r>
            <w:proofErr w:type="gramStart"/>
            <w:r w:rsid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D0AF9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資本適足率</w:t>
            </w:r>
            <w:r w:rsidR="00673E24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申報有</w:t>
            </w:r>
            <w:r w:rsidR="008D0AF9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誤</w:t>
            </w:r>
            <w:r w:rsidR="00673E24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差</w:t>
            </w:r>
            <w:r w:rsidR="008D0AF9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：  </w:t>
            </w:r>
          </w:p>
          <w:p w:rsidR="00870DEF" w:rsidRDefault="00D20D79" w:rsidP="00870DEF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B313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</w:t>
            </w:r>
            <w:r w:rsidR="006076CC" w:rsidRPr="003B313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有</w:t>
            </w:r>
            <w:r w:rsidR="00870DEF" w:rsidRPr="003B313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合格零</w:t>
            </w:r>
            <w:r w:rsidR="00870DEF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售債權（風險權數75％）、非合格零售債權（風險權數100％）及其應收利息，誤列為合格住宅抵押貸款</w:t>
            </w:r>
            <w:r w:rsidR="00870DEF" w:rsidRPr="000A704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（</w:t>
            </w:r>
            <w:r w:rsidR="00870DEF" w:rsidRPr="000A7041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風險權數</w:t>
            </w:r>
            <w:r w:rsidR="00870DEF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45%</w:t>
            </w:r>
            <w:r w:rsidR="00870DEF" w:rsidRPr="000A704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）</w:t>
            </w:r>
            <w:r w:rsidR="00870DEF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:rsidR="000A7041" w:rsidRDefault="003B313F" w:rsidP="00870DEF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="000A7041" w:rsidRPr="00900C9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.帳列存放銀行同業屬外幣定期存款，未列入表內交易信用風險暴險額（風險權數20％）。</w:t>
            </w:r>
          </w:p>
          <w:p w:rsidR="000A7041" w:rsidRDefault="003B313F" w:rsidP="00870DEF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="000A7041" w:rsidRPr="00900C9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.帳列以成本衡量之金融資產屬投資陽光資產管理公司，</w:t>
            </w:r>
            <w:r w:rsidR="005655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應</w:t>
            </w:r>
            <w:r w:rsidR="000A7041" w:rsidRPr="00900C9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適用不具公開交易市場之權益證券投資（風險權數400％）</w:t>
            </w:r>
            <w:r w:rsidR="0056554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</w:t>
            </w:r>
            <w:r w:rsidR="0056554C" w:rsidRPr="00900C9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誤適用風險權數300％</w:t>
            </w:r>
            <w:r w:rsidR="000A7041" w:rsidRPr="00900C9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:rsidR="000A7041" w:rsidRPr="00BE6855" w:rsidRDefault="003B313F" w:rsidP="000A7041">
            <w:pPr>
              <w:spacing w:line="460" w:lineRule="exact"/>
              <w:ind w:left="1134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4.</w:t>
            </w:r>
            <w:r w:rsidR="000A7041" w:rsidRPr="00BE6855">
              <w:rPr>
                <w:rFonts w:ascii="標楷體" w:eastAsia="標楷體" w:hAnsi="標楷體"/>
                <w:b/>
                <w:color w:val="000000"/>
                <w:sz w:val="28"/>
              </w:rPr>
              <w:t>以住宅用不動產為擔保之債權：</w:t>
            </w:r>
          </w:p>
          <w:p w:rsidR="000A7041" w:rsidRPr="00BE6855" w:rsidRDefault="000A7041" w:rsidP="000A7041">
            <w:pPr>
              <w:numPr>
                <w:ilvl w:val="0"/>
                <w:numId w:val="4"/>
              </w:numPr>
              <w:spacing w:line="460" w:lineRule="exact"/>
              <w:ind w:left="1754" w:hanging="4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放款案件逾期超過90天以上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未依規定適用逾期債權之風險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權數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0A7041" w:rsidRPr="00206935" w:rsidRDefault="000A7041" w:rsidP="000A7041">
            <w:pPr>
              <w:numPr>
                <w:ilvl w:val="0"/>
                <w:numId w:val="4"/>
              </w:numPr>
              <w:spacing w:line="460" w:lineRule="exact"/>
              <w:ind w:left="1754" w:hanging="4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借戶擔保品係供出租為餐廳而非住宅使用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，誤適用住宅用不動產為擔保債權之風險權數。</w:t>
            </w:r>
          </w:p>
          <w:p w:rsidR="000A7041" w:rsidRPr="00BE6855" w:rsidRDefault="000A7041" w:rsidP="000A7041">
            <w:pPr>
              <w:numPr>
                <w:ilvl w:val="0"/>
                <w:numId w:val="4"/>
              </w:numPr>
              <w:spacing w:line="460" w:lineRule="exact"/>
              <w:ind w:left="1754" w:hanging="4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對非屬「提供本人、配偶或未成年子女所購(所有)之住宅」為擔保之購建住宅及房屋裝修貸款，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誤適用</w:t>
            </w:r>
            <w:r w:rsidRPr="00BE685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住宅用不動產為擔保債權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風險權數，應改列至零售債權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0A7041" w:rsidRDefault="003B313F" w:rsidP="003B313F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5</w:t>
            </w:r>
            <w:r w:rsidR="000A7041" w:rsidRPr="00900C9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.辦理預售屋買賣</w:t>
            </w:r>
            <w:proofErr w:type="gramStart"/>
            <w:r w:rsidR="000A7041" w:rsidRPr="00900C9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價金返還</w:t>
            </w:r>
            <w:proofErr w:type="gramEnd"/>
            <w:r w:rsidR="000A7041" w:rsidRPr="00900C9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履約保證（信用轉換係數50%），未列入一般表外交易之信用風險相當額計算。</w:t>
            </w:r>
          </w:p>
          <w:p w:rsidR="003B313F" w:rsidRPr="00BE6855" w:rsidRDefault="003B313F" w:rsidP="003B313F">
            <w:pPr>
              <w:spacing w:line="460" w:lineRule="exact"/>
              <w:ind w:leftChars="469"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6.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將不符合零售債權分散性標準（單一交易對手暴險額加總不得超過零售資產組合之債權總額0.2%）之借戶，誤分類為合格零售債權（風險權數75</w:t>
            </w:r>
            <w:r w:rsidRPr="00BE685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%），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應改列至企業債權（風險權數100</w:t>
            </w:r>
            <w:r w:rsidRPr="00BE685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%）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3B313F" w:rsidRPr="00BE6855" w:rsidRDefault="003B313F" w:rsidP="003B313F">
            <w:pPr>
              <w:spacing w:line="460" w:lineRule="exact"/>
              <w:ind w:leftChars="469" w:left="1409" w:hangingChars="101" w:hanging="28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將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帳列「以成本衡量之金融資產」</w:t>
            </w:r>
            <w:r w:rsidRPr="00BE685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，</w:t>
            </w:r>
            <w:proofErr w:type="gramStart"/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誤列於交易簿計提</w:t>
            </w:r>
            <w:proofErr w:type="gramEnd"/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市場風險之權益證券風險，應改列至銀行</w:t>
            </w:r>
            <w:proofErr w:type="gramStart"/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簿</w:t>
            </w:r>
            <w:proofErr w:type="gramEnd"/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計算表內信用風險-權益證券投資（適用4</w:t>
            </w:r>
            <w:r w:rsidRPr="00BE685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00%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風險權數）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0A7041" w:rsidRDefault="003B313F" w:rsidP="003B313F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8.</w:t>
            </w:r>
            <w:r w:rsidRPr="00BE685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計算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信用風險</w:t>
            </w:r>
            <w:r w:rsidRPr="00BE685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預期損失，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漏</w:t>
            </w:r>
            <w:r w:rsidRPr="00BE685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未依</w:t>
            </w:r>
            <w:proofErr w:type="gramStart"/>
            <w:r w:rsidRPr="00BE685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規</w:t>
            </w:r>
            <w:proofErr w:type="gramEnd"/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將「處分承受擔保品</w:t>
            </w:r>
            <w:r w:rsidRPr="00BE685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損失」列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入計算</w:t>
            </w:r>
            <w:r w:rsidRPr="00BE685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。</w:t>
            </w:r>
          </w:p>
          <w:p w:rsidR="000A7041" w:rsidRPr="000A7041" w:rsidRDefault="000A7041" w:rsidP="00BA3A03">
            <w:pPr>
              <w:spacing w:line="460" w:lineRule="exact"/>
              <w:ind w:left="1410" w:hanging="426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431CC5" w:rsidRPr="00774012" w:rsidRDefault="00431CC5" w:rsidP="00215FB1">
      <w:pPr>
        <w:spacing w:line="460" w:lineRule="exact"/>
        <w:ind w:leftChars="200" w:left="1756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lastRenderedPageBreak/>
        <w:t>改善作法：</w:t>
      </w:r>
    </w:p>
    <w:p w:rsidR="008D0AF9" w:rsidRPr="00774012" w:rsidRDefault="008D0AF9" w:rsidP="00215FB1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774012" w:rsidRDefault="008D0AF9" w:rsidP="00215FB1">
      <w:pPr>
        <w:spacing w:line="460" w:lineRule="exact"/>
        <w:ind w:leftChars="308" w:left="742" w:hangingChars="1" w:hanging="3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信用合作社</w:t>
      </w:r>
      <w:proofErr w:type="gramStart"/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採行新巴塞</w:t>
      </w:r>
      <w:proofErr w:type="gramEnd"/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爾資本協定簡易標準法自有資本與風險性資產計算方法說明。</w:t>
      </w:r>
    </w:p>
    <w:p w:rsidR="008D0AF9" w:rsidRPr="00774012" w:rsidRDefault="008D0AF9" w:rsidP="00215FB1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8D0AF9" w:rsidRDefault="008D0AF9" w:rsidP="00215FB1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p w:rsidR="003B313F" w:rsidRDefault="003B313F" w:rsidP="00215FB1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</w:p>
    <w:p w:rsidR="003B313F" w:rsidRPr="00BE6855" w:rsidRDefault="003B313F" w:rsidP="003B313F">
      <w:pPr>
        <w:spacing w:line="460" w:lineRule="exact"/>
        <w:jc w:val="both"/>
        <w:rPr>
          <w:rFonts w:ascii="標楷體" w:eastAsia="標楷體" w:hAnsi="標楷體"/>
          <w:spacing w:val="-14"/>
          <w:sz w:val="28"/>
          <w:szCs w:val="28"/>
        </w:rPr>
      </w:pPr>
    </w:p>
    <w:tbl>
      <w:tblPr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3B313F" w:rsidRPr="00810BD0" w:rsidTr="0056554C">
        <w:trPr>
          <w:trHeight w:val="2214"/>
        </w:trPr>
        <w:tc>
          <w:tcPr>
            <w:tcW w:w="8372" w:type="dxa"/>
          </w:tcPr>
          <w:p w:rsidR="003B313F" w:rsidRPr="00AF2E39" w:rsidRDefault="003B313F" w:rsidP="0056554C">
            <w:pPr>
              <w:spacing w:line="460" w:lineRule="exact"/>
              <w:ind w:left="1151" w:hanging="115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70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態樣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E770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0321DF">
              <w:rPr>
                <w:rFonts w:ascii="標楷體" w:eastAsia="標楷體" w:hAnsi="標楷體" w:hint="eastAsia"/>
                <w:b/>
                <w:color w:val="000000"/>
                <w:sz w:val="28"/>
              </w:rPr>
              <w:t>資訊系統對於合格債權之篩選標準設計欠完整，致影響加權風險性資產之計算：</w:t>
            </w:r>
          </w:p>
          <w:p w:rsidR="003B313F" w:rsidRPr="000321DF" w:rsidRDefault="003B313F" w:rsidP="003B313F">
            <w:pPr>
              <w:numPr>
                <w:ilvl w:val="0"/>
                <w:numId w:val="6"/>
              </w:numPr>
              <w:spacing w:line="460" w:lineRule="exact"/>
              <w:ind w:left="1446" w:hanging="312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321DF">
              <w:rPr>
                <w:rFonts w:ascii="標楷體" w:eastAsia="標楷體" w:hAnsi="標楷體" w:hint="eastAsia"/>
                <w:b/>
                <w:color w:val="000000"/>
                <w:sz w:val="28"/>
              </w:rPr>
              <w:t>對合格住宅抵押貸款「擔保物提供人」僅以「自然人」為篩選標準，未依規定設計為「本人」或「配偶」或「未成年子女」。</w:t>
            </w:r>
          </w:p>
          <w:p w:rsidR="003B313F" w:rsidRPr="000321DF" w:rsidRDefault="003B313F" w:rsidP="003B313F">
            <w:pPr>
              <w:numPr>
                <w:ilvl w:val="0"/>
                <w:numId w:val="6"/>
              </w:numPr>
              <w:spacing w:line="460" w:lineRule="exact"/>
              <w:ind w:left="1446" w:hanging="312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321DF">
              <w:rPr>
                <w:rFonts w:ascii="標楷體" w:eastAsia="標楷體" w:hAnsi="標楷體" w:hint="eastAsia"/>
                <w:b/>
                <w:color w:val="000000"/>
                <w:sz w:val="28"/>
              </w:rPr>
              <w:t>未將合格零售債權之「分散性標準」(對單一交易對手</w:t>
            </w:r>
            <w:proofErr w:type="gramStart"/>
            <w:r w:rsidRPr="000321DF">
              <w:rPr>
                <w:rFonts w:ascii="標楷體" w:eastAsia="標楷體" w:hAnsi="標楷體" w:hint="eastAsia"/>
                <w:b/>
                <w:color w:val="000000"/>
                <w:sz w:val="28"/>
              </w:rPr>
              <w:t>暴險額</w:t>
            </w:r>
            <w:proofErr w:type="gramEnd"/>
            <w:r w:rsidRPr="000321DF">
              <w:rPr>
                <w:rFonts w:ascii="標楷體" w:eastAsia="標楷體" w:hAnsi="標楷體" w:hint="eastAsia"/>
                <w:b/>
                <w:color w:val="000000"/>
                <w:sz w:val="28"/>
              </w:rPr>
              <w:t>加總不得超過零售債權總額0.2%)列入篩選標準。</w:t>
            </w:r>
          </w:p>
          <w:p w:rsidR="003B313F" w:rsidRPr="003B313F" w:rsidRDefault="003B313F" w:rsidP="003B313F">
            <w:pPr>
              <w:numPr>
                <w:ilvl w:val="0"/>
                <w:numId w:val="6"/>
              </w:numPr>
              <w:spacing w:line="460" w:lineRule="exact"/>
              <w:ind w:left="1446" w:hanging="312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321DF">
              <w:rPr>
                <w:rFonts w:ascii="標楷體" w:eastAsia="標楷體" w:hAnsi="標楷體" w:hint="eastAsia"/>
                <w:b/>
                <w:color w:val="000000"/>
                <w:sz w:val="28"/>
              </w:rPr>
              <w:t>對於「存單質借」漏未以「</w:t>
            </w:r>
            <w:proofErr w:type="gramStart"/>
            <w:r w:rsidRPr="000321DF">
              <w:rPr>
                <w:rFonts w:ascii="標楷體" w:eastAsia="標楷體" w:hAnsi="標楷體" w:hint="eastAsia"/>
                <w:b/>
                <w:color w:val="000000"/>
                <w:sz w:val="28"/>
              </w:rPr>
              <w:t>歸戶後</w:t>
            </w:r>
            <w:proofErr w:type="gramEnd"/>
            <w:r w:rsidRPr="000321DF">
              <w:rPr>
                <w:rFonts w:ascii="標楷體" w:eastAsia="標楷體" w:hAnsi="標楷體" w:hint="eastAsia"/>
                <w:b/>
                <w:color w:val="000000"/>
                <w:sz w:val="28"/>
              </w:rPr>
              <w:t>」之</w:t>
            </w:r>
            <w:proofErr w:type="gramStart"/>
            <w:r w:rsidRPr="000321DF">
              <w:rPr>
                <w:rFonts w:ascii="標楷體" w:eastAsia="標楷體" w:hAnsi="標楷體" w:hint="eastAsia"/>
                <w:b/>
                <w:color w:val="000000"/>
                <w:sz w:val="28"/>
              </w:rPr>
              <w:t>暴險額</w:t>
            </w:r>
            <w:proofErr w:type="gramEnd"/>
            <w:r w:rsidRPr="000321DF">
              <w:rPr>
                <w:rFonts w:ascii="標楷體" w:eastAsia="標楷體" w:hAnsi="標楷體" w:hint="eastAsia"/>
                <w:b/>
                <w:color w:val="000000"/>
                <w:sz w:val="28"/>
              </w:rPr>
              <w:t>加總金額控管。</w:t>
            </w:r>
          </w:p>
          <w:p w:rsidR="003B313F" w:rsidRPr="008B4EA5" w:rsidRDefault="003B313F" w:rsidP="003B313F">
            <w:pPr>
              <w:spacing w:line="460" w:lineRule="exact"/>
              <w:ind w:left="1134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3B313F" w:rsidRPr="003B313F" w:rsidRDefault="003B313F" w:rsidP="003B313F">
      <w:pPr>
        <w:spacing w:line="460" w:lineRule="exact"/>
        <w:ind w:left="1276" w:hanging="1276"/>
        <w:rPr>
          <w:rFonts w:ascii="標楷體" w:eastAsia="標楷體" w:hAnsi="標楷體"/>
          <w:b/>
          <w:color w:val="000000" w:themeColor="text1"/>
          <w:spacing w:val="-14"/>
          <w:sz w:val="28"/>
          <w:szCs w:val="28"/>
        </w:rPr>
      </w:pPr>
      <w:r w:rsidRPr="003B313F">
        <w:rPr>
          <w:rFonts w:ascii="標楷體" w:eastAsia="標楷體" w:hAnsi="標楷體" w:hint="eastAsia"/>
          <w:b/>
          <w:color w:val="000000" w:themeColor="text1"/>
          <w:spacing w:val="-14"/>
          <w:sz w:val="28"/>
          <w:szCs w:val="28"/>
        </w:rPr>
        <w:t>改善作法：</w:t>
      </w:r>
    </w:p>
    <w:p w:rsidR="003B313F" w:rsidRPr="00774012" w:rsidRDefault="003B313F" w:rsidP="003B313F">
      <w:pPr>
        <w:spacing w:line="460" w:lineRule="exact"/>
        <w:ind w:leftChars="200" w:left="1756" w:hanging="1276"/>
        <w:jc w:val="both"/>
        <w:rPr>
          <w:rFonts w:ascii="標楷體" w:eastAsia="標楷體" w:hAnsi="標楷體"/>
          <w:spacing w:val="-14"/>
          <w:sz w:val="28"/>
          <w:szCs w:val="28"/>
        </w:rPr>
      </w:pPr>
      <w:r w:rsidRPr="00774012">
        <w:rPr>
          <w:rFonts w:ascii="標楷體" w:eastAsia="標楷體" w:hAnsi="標楷體" w:hint="eastAsia"/>
          <w:spacing w:val="-14"/>
          <w:sz w:val="28"/>
          <w:szCs w:val="28"/>
        </w:rPr>
        <w:t>1.參考法規：</w:t>
      </w:r>
    </w:p>
    <w:p w:rsidR="003B313F" w:rsidRPr="00774012" w:rsidRDefault="003B313F" w:rsidP="003B313F">
      <w:pPr>
        <w:spacing w:line="460" w:lineRule="exact"/>
        <w:ind w:leftChars="308" w:left="742" w:hangingChars="1" w:hanging="3"/>
        <w:jc w:val="both"/>
        <w:rPr>
          <w:rFonts w:ascii="標楷體" w:eastAsia="標楷體" w:hAnsi="標楷體"/>
          <w:spacing w:val="-14"/>
          <w:sz w:val="28"/>
          <w:szCs w:val="28"/>
        </w:rPr>
      </w:pPr>
      <w:r w:rsidRPr="00774012">
        <w:rPr>
          <w:rFonts w:ascii="標楷體" w:eastAsia="標楷體" w:hAnsi="標楷體" w:hint="eastAsia"/>
          <w:spacing w:val="-14"/>
          <w:sz w:val="28"/>
          <w:szCs w:val="28"/>
        </w:rPr>
        <w:t>信用合作社</w:t>
      </w:r>
      <w:proofErr w:type="gramStart"/>
      <w:r w:rsidRPr="00774012">
        <w:rPr>
          <w:rFonts w:ascii="標楷體" w:eastAsia="標楷體" w:hAnsi="標楷體" w:hint="eastAsia"/>
          <w:spacing w:val="-14"/>
          <w:sz w:val="28"/>
          <w:szCs w:val="28"/>
        </w:rPr>
        <w:t>採行新巴塞</w:t>
      </w:r>
      <w:proofErr w:type="gramEnd"/>
      <w:r w:rsidRPr="00774012">
        <w:rPr>
          <w:rFonts w:ascii="標楷體" w:eastAsia="標楷體" w:hAnsi="標楷體" w:hint="eastAsia"/>
          <w:spacing w:val="-14"/>
          <w:sz w:val="28"/>
          <w:szCs w:val="28"/>
        </w:rPr>
        <w:t>爾資本協定簡易標準法自有資本與風險性資產計算方法說明。</w:t>
      </w:r>
    </w:p>
    <w:p w:rsidR="003B313F" w:rsidRPr="00774012" w:rsidRDefault="003B313F" w:rsidP="003B313F">
      <w:pPr>
        <w:spacing w:line="460" w:lineRule="exact"/>
        <w:ind w:leftChars="200" w:left="1756" w:hanging="1276"/>
        <w:jc w:val="both"/>
        <w:rPr>
          <w:rFonts w:ascii="標楷體" w:eastAsia="標楷體" w:hAnsi="標楷體"/>
          <w:spacing w:val="-14"/>
          <w:sz w:val="28"/>
          <w:szCs w:val="28"/>
        </w:rPr>
      </w:pPr>
      <w:r w:rsidRPr="00774012">
        <w:rPr>
          <w:rFonts w:ascii="標楷體" w:eastAsia="標楷體" w:hAnsi="標楷體" w:hint="eastAsia"/>
          <w:spacing w:val="-14"/>
          <w:sz w:val="28"/>
          <w:szCs w:val="28"/>
        </w:rPr>
        <w:t>2.</w:t>
      </w:r>
      <w:r>
        <w:rPr>
          <w:rFonts w:ascii="標楷體" w:eastAsia="標楷體" w:hAnsi="標楷體" w:hint="eastAsia"/>
          <w:spacing w:val="-14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pacing w:val="-14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spacing w:val="-14"/>
          <w:sz w:val="28"/>
          <w:szCs w:val="28"/>
        </w:rPr>
        <w:t>修改資訊系統，</w:t>
      </w:r>
      <w:proofErr w:type="gramStart"/>
      <w:r>
        <w:rPr>
          <w:rFonts w:ascii="標楷體" w:eastAsia="標楷體" w:hAnsi="標楷體" w:hint="eastAsia"/>
          <w:spacing w:val="-14"/>
          <w:sz w:val="28"/>
          <w:szCs w:val="28"/>
        </w:rPr>
        <w:t>俾</w:t>
      </w:r>
      <w:proofErr w:type="gramEnd"/>
      <w:r w:rsidRPr="00774012">
        <w:rPr>
          <w:rFonts w:ascii="標楷體" w:eastAsia="標楷體" w:hAnsi="標楷體" w:hint="eastAsia"/>
          <w:spacing w:val="-14"/>
          <w:sz w:val="28"/>
          <w:szCs w:val="28"/>
        </w:rPr>
        <w:t>依規定填報及落實複核機制。</w:t>
      </w:r>
    </w:p>
    <w:p w:rsidR="003B313F" w:rsidRDefault="003B313F" w:rsidP="003B313F">
      <w:pPr>
        <w:spacing w:line="460" w:lineRule="exact"/>
        <w:ind w:leftChars="200" w:left="1756" w:hanging="1276"/>
        <w:jc w:val="both"/>
        <w:rPr>
          <w:rFonts w:ascii="標楷體" w:eastAsia="標楷體" w:hAnsi="標楷體"/>
          <w:spacing w:val="-14"/>
          <w:sz w:val="28"/>
          <w:szCs w:val="28"/>
        </w:rPr>
      </w:pPr>
      <w:r w:rsidRPr="00774012">
        <w:rPr>
          <w:rFonts w:ascii="標楷體" w:eastAsia="標楷體" w:hAnsi="標楷體" w:hint="eastAsia"/>
          <w:spacing w:val="-14"/>
          <w:sz w:val="28"/>
          <w:szCs w:val="28"/>
        </w:rPr>
        <w:t>3.內部稽核將申報資料正確性列為查核重點。</w:t>
      </w:r>
    </w:p>
    <w:p w:rsidR="003B313F" w:rsidRPr="003B313F" w:rsidRDefault="003B313F" w:rsidP="00215FB1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6076CC" w:rsidTr="007C0FE0">
        <w:trPr>
          <w:trHeight w:val="1613"/>
        </w:trPr>
        <w:tc>
          <w:tcPr>
            <w:tcW w:w="8372" w:type="dxa"/>
          </w:tcPr>
          <w:p w:rsidR="008D0AF9" w:rsidRPr="003B313F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B313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態樣</w:t>
            </w:r>
            <w:r w:rsidR="003B313F" w:rsidRPr="003B313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</w:t>
            </w:r>
            <w:r w:rsidRPr="003B313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D0AF9" w:rsidRPr="003B313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建築貸款申報錯誤：</w:t>
            </w:r>
          </w:p>
          <w:p w:rsidR="008D0AF9" w:rsidRPr="000A7041" w:rsidRDefault="008D0AF9" w:rsidP="00DF287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1.借戶屬建築業，</w:t>
            </w:r>
            <w:r w:rsidR="00542B27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未將</w:t>
            </w:r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週轉金貸款或購地貸款列入申報。</w:t>
            </w:r>
          </w:p>
          <w:p w:rsidR="00BA3A03" w:rsidRPr="000A7041" w:rsidRDefault="008D0AF9" w:rsidP="007C0FE0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="00542B27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</w:t>
            </w:r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從事建築投資之個人購地貸款餘額</w:t>
            </w:r>
            <w:r w:rsidR="00542B27"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未</w:t>
            </w:r>
            <w:r w:rsidRPr="000A70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列入申報。</w:t>
            </w:r>
          </w:p>
        </w:tc>
      </w:tr>
    </w:tbl>
    <w:p w:rsidR="00431CC5" w:rsidRPr="00774012" w:rsidRDefault="00431CC5" w:rsidP="00392C4D">
      <w:pPr>
        <w:spacing w:line="460" w:lineRule="exact"/>
        <w:ind w:leftChars="200" w:left="1756" w:hanging="1276"/>
        <w:rPr>
          <w:rFonts w:ascii="標楷體" w:eastAsia="標楷體" w:hAnsi="標楷體" w:cs="Times New Roman"/>
          <w:b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b/>
          <w:spacing w:val="-14"/>
          <w:sz w:val="28"/>
          <w:szCs w:val="28"/>
        </w:rPr>
        <w:t>改善作法：</w:t>
      </w:r>
    </w:p>
    <w:p w:rsidR="008D0AF9" w:rsidRPr="00774012" w:rsidRDefault="008D0AF9" w:rsidP="00392C4D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1.參考法規：</w:t>
      </w:r>
    </w:p>
    <w:p w:rsidR="008D0AF9" w:rsidRPr="00774012" w:rsidRDefault="008D0AF9" w:rsidP="00392C4D">
      <w:pPr>
        <w:spacing w:line="460" w:lineRule="exact"/>
        <w:ind w:leftChars="295" w:left="1471" w:hanging="763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FI395信用合作社授信業務申報資料表填報說明之定義：</w:t>
      </w:r>
    </w:p>
    <w:p w:rsidR="008D0AF9" w:rsidRPr="00774012" w:rsidRDefault="008D0AF9" w:rsidP="009D14DA">
      <w:pPr>
        <w:spacing w:line="460" w:lineRule="exact"/>
        <w:ind w:leftChars="200" w:left="1036" w:hanging="55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（1）對建築業貸款，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係指對以房屋興建投資為主要業務之企業承做之購地、興建房屋及週轉金貸款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774012" w:rsidRDefault="008D0AF9" w:rsidP="009D14DA">
      <w:pPr>
        <w:spacing w:line="460" w:lineRule="exact"/>
        <w:ind w:leftChars="200" w:left="1036" w:hanging="55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（2）對其他企業建築貸款，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係指對建築業以外之企業所辦理之購地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興建房屋貸款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。</w:t>
      </w:r>
    </w:p>
    <w:p w:rsidR="008D0AF9" w:rsidRPr="00774012" w:rsidRDefault="008D0AF9" w:rsidP="009D14DA">
      <w:pPr>
        <w:spacing w:line="460" w:lineRule="exact"/>
        <w:ind w:leftChars="200" w:left="1036" w:hanging="55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（3）對個人戶建築貸款，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係指對從事建築投資之個人所辦理之購地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及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興建房屋貸款。</w:t>
      </w:r>
    </w:p>
    <w:p w:rsidR="008D0AF9" w:rsidRPr="00774012" w:rsidRDefault="008D0AF9" w:rsidP="009D14DA">
      <w:pPr>
        <w:spacing w:line="460" w:lineRule="exact"/>
        <w:ind w:leftChars="200" w:left="1036" w:hanging="55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（4）其他</w:t>
      </w:r>
      <w:r w:rsidRPr="00774012">
        <w:rPr>
          <w:rFonts w:ascii="標楷體" w:eastAsia="標楷體" w:hAnsi="標楷體" w:cs="Times New Roman"/>
          <w:spacing w:val="-14"/>
          <w:sz w:val="28"/>
          <w:szCs w:val="28"/>
        </w:rPr>
        <w:t>建築貸款</w:t>
      </w: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（屬房屋興建屬自用部分）餘額。</w:t>
      </w:r>
    </w:p>
    <w:p w:rsidR="008D0AF9" w:rsidRPr="00774012" w:rsidRDefault="008D0AF9" w:rsidP="00392C4D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2.正確建檔並依規定填報及落實複核機制。</w:t>
      </w:r>
    </w:p>
    <w:p w:rsidR="008D0AF9" w:rsidRPr="00774012" w:rsidRDefault="008D0AF9" w:rsidP="00392C4D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pacing w:val="-14"/>
          <w:sz w:val="28"/>
          <w:szCs w:val="28"/>
        </w:rPr>
      </w:pPr>
      <w:r w:rsidRPr="00774012">
        <w:rPr>
          <w:rFonts w:ascii="標楷體" w:eastAsia="標楷體" w:hAnsi="標楷體" w:cs="Times New Roman" w:hint="eastAsia"/>
          <w:spacing w:val="-14"/>
          <w:sz w:val="28"/>
          <w:szCs w:val="28"/>
        </w:rPr>
        <w:t>3.內部稽核將申報資料正確性列為查核重點。</w:t>
      </w:r>
    </w:p>
    <w:sectPr w:rsidR="008D0AF9" w:rsidRPr="00774012" w:rsidSect="000B72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4C" w:rsidRDefault="0056554C" w:rsidP="00A42FFF">
      <w:r>
        <w:separator/>
      </w:r>
    </w:p>
  </w:endnote>
  <w:endnote w:type="continuationSeparator" w:id="0">
    <w:p w:rsidR="0056554C" w:rsidRDefault="0056554C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56554C" w:rsidRDefault="002F053A">
        <w:pPr>
          <w:pStyle w:val="a6"/>
          <w:jc w:val="center"/>
        </w:pPr>
        <w:fldSimple w:instr=" PAGE   \* MERGEFORMAT ">
          <w:r w:rsidR="00F55213" w:rsidRPr="00F55213">
            <w:rPr>
              <w:noProof/>
              <w:lang w:val="zh-TW"/>
            </w:rPr>
            <w:t>4</w:t>
          </w:r>
        </w:fldSimple>
      </w:p>
    </w:sdtContent>
  </w:sdt>
  <w:p w:rsidR="0056554C" w:rsidRDefault="005655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4C" w:rsidRDefault="0056554C" w:rsidP="00A42FFF">
      <w:r>
        <w:separator/>
      </w:r>
    </w:p>
  </w:footnote>
  <w:footnote w:type="continuationSeparator" w:id="0">
    <w:p w:rsidR="0056554C" w:rsidRDefault="0056554C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">
    <w:nsid w:val="46DA5312"/>
    <w:multiLevelType w:val="hybridMultilevel"/>
    <w:tmpl w:val="4320B460"/>
    <w:lvl w:ilvl="0" w:tplc="7AB4E6C2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46DC1782"/>
    <w:multiLevelType w:val="hybridMultilevel"/>
    <w:tmpl w:val="4320B460"/>
    <w:lvl w:ilvl="0" w:tplc="7AB4E6C2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54AD3FD2"/>
    <w:multiLevelType w:val="hybridMultilevel"/>
    <w:tmpl w:val="2E34F0BE"/>
    <w:lvl w:ilvl="0" w:tplc="7EE45D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643C2C34"/>
    <w:multiLevelType w:val="hybridMultilevel"/>
    <w:tmpl w:val="0CFEB966"/>
    <w:lvl w:ilvl="0" w:tplc="959C1144">
      <w:start w:val="1"/>
      <w:numFmt w:val="decimal"/>
      <w:lvlText w:val="(%1)"/>
      <w:lvlJc w:val="left"/>
      <w:pPr>
        <w:ind w:left="1961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4B23AD"/>
    <w:multiLevelType w:val="hybridMultilevel"/>
    <w:tmpl w:val="4320B460"/>
    <w:lvl w:ilvl="0" w:tplc="7AB4E6C2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2AE3"/>
    <w:rsid w:val="00022A6F"/>
    <w:rsid w:val="0003582C"/>
    <w:rsid w:val="00056A0F"/>
    <w:rsid w:val="00062F65"/>
    <w:rsid w:val="000778AE"/>
    <w:rsid w:val="000A0EF2"/>
    <w:rsid w:val="000A7041"/>
    <w:rsid w:val="000B7245"/>
    <w:rsid w:val="000E4016"/>
    <w:rsid w:val="000F4493"/>
    <w:rsid w:val="00104718"/>
    <w:rsid w:val="0011694C"/>
    <w:rsid w:val="001240DF"/>
    <w:rsid w:val="001427C2"/>
    <w:rsid w:val="00151F80"/>
    <w:rsid w:val="00185EF7"/>
    <w:rsid w:val="00196166"/>
    <w:rsid w:val="001C4048"/>
    <w:rsid w:val="001F7FF5"/>
    <w:rsid w:val="002049F0"/>
    <w:rsid w:val="00215AB3"/>
    <w:rsid w:val="00215FB1"/>
    <w:rsid w:val="00264C86"/>
    <w:rsid w:val="00273434"/>
    <w:rsid w:val="00274E06"/>
    <w:rsid w:val="00294F81"/>
    <w:rsid w:val="002F053A"/>
    <w:rsid w:val="00310267"/>
    <w:rsid w:val="0031602C"/>
    <w:rsid w:val="003160F4"/>
    <w:rsid w:val="00392C4D"/>
    <w:rsid w:val="003B313F"/>
    <w:rsid w:val="003B3F7C"/>
    <w:rsid w:val="003F0E5D"/>
    <w:rsid w:val="003F4A29"/>
    <w:rsid w:val="00431CC5"/>
    <w:rsid w:val="00437088"/>
    <w:rsid w:val="0044639D"/>
    <w:rsid w:val="0046084B"/>
    <w:rsid w:val="00476D42"/>
    <w:rsid w:val="00483CA1"/>
    <w:rsid w:val="004A0CD2"/>
    <w:rsid w:val="004E67EB"/>
    <w:rsid w:val="004F3F4B"/>
    <w:rsid w:val="00516F31"/>
    <w:rsid w:val="005428A9"/>
    <w:rsid w:val="00542B27"/>
    <w:rsid w:val="00543A8E"/>
    <w:rsid w:val="0055731E"/>
    <w:rsid w:val="00564A35"/>
    <w:rsid w:val="0056554C"/>
    <w:rsid w:val="005801D4"/>
    <w:rsid w:val="00585F2E"/>
    <w:rsid w:val="0059544F"/>
    <w:rsid w:val="005A4389"/>
    <w:rsid w:val="005B13F9"/>
    <w:rsid w:val="005C2ED4"/>
    <w:rsid w:val="005F1BFC"/>
    <w:rsid w:val="006013FE"/>
    <w:rsid w:val="006053DD"/>
    <w:rsid w:val="006076CC"/>
    <w:rsid w:val="00654EEA"/>
    <w:rsid w:val="00673E24"/>
    <w:rsid w:val="0068365A"/>
    <w:rsid w:val="006B20B9"/>
    <w:rsid w:val="006C7873"/>
    <w:rsid w:val="006D1C41"/>
    <w:rsid w:val="00711738"/>
    <w:rsid w:val="00726FA3"/>
    <w:rsid w:val="00751A38"/>
    <w:rsid w:val="007735AB"/>
    <w:rsid w:val="00774012"/>
    <w:rsid w:val="0079144F"/>
    <w:rsid w:val="007B32C9"/>
    <w:rsid w:val="007C0FE0"/>
    <w:rsid w:val="007F64C0"/>
    <w:rsid w:val="008361CF"/>
    <w:rsid w:val="00870DEF"/>
    <w:rsid w:val="008725A6"/>
    <w:rsid w:val="008741CB"/>
    <w:rsid w:val="008D0AF9"/>
    <w:rsid w:val="00916238"/>
    <w:rsid w:val="009275C2"/>
    <w:rsid w:val="009366A0"/>
    <w:rsid w:val="009967C4"/>
    <w:rsid w:val="009A2949"/>
    <w:rsid w:val="009B7A83"/>
    <w:rsid w:val="009D14DA"/>
    <w:rsid w:val="00A07432"/>
    <w:rsid w:val="00A4082E"/>
    <w:rsid w:val="00A42FFF"/>
    <w:rsid w:val="00A57694"/>
    <w:rsid w:val="00A655EC"/>
    <w:rsid w:val="00A95069"/>
    <w:rsid w:val="00AB2690"/>
    <w:rsid w:val="00AC5C74"/>
    <w:rsid w:val="00AC653B"/>
    <w:rsid w:val="00B24D0A"/>
    <w:rsid w:val="00B272DE"/>
    <w:rsid w:val="00B328AE"/>
    <w:rsid w:val="00B57846"/>
    <w:rsid w:val="00B65AF9"/>
    <w:rsid w:val="00B77BBC"/>
    <w:rsid w:val="00B82C6C"/>
    <w:rsid w:val="00B91699"/>
    <w:rsid w:val="00BA3A03"/>
    <w:rsid w:val="00BE7BE6"/>
    <w:rsid w:val="00BF30A9"/>
    <w:rsid w:val="00C00B01"/>
    <w:rsid w:val="00C13B18"/>
    <w:rsid w:val="00C2010F"/>
    <w:rsid w:val="00CD7949"/>
    <w:rsid w:val="00CE0EE8"/>
    <w:rsid w:val="00D101FA"/>
    <w:rsid w:val="00D20D79"/>
    <w:rsid w:val="00DB3BBC"/>
    <w:rsid w:val="00DD58B9"/>
    <w:rsid w:val="00DF287D"/>
    <w:rsid w:val="00E02E75"/>
    <w:rsid w:val="00E06739"/>
    <w:rsid w:val="00E46306"/>
    <w:rsid w:val="00E620AC"/>
    <w:rsid w:val="00E66021"/>
    <w:rsid w:val="00E90CF8"/>
    <w:rsid w:val="00EA261D"/>
    <w:rsid w:val="00ED1E4B"/>
    <w:rsid w:val="00EE4A65"/>
    <w:rsid w:val="00F02F5E"/>
    <w:rsid w:val="00F16DEF"/>
    <w:rsid w:val="00F55213"/>
    <w:rsid w:val="00FB4BFB"/>
    <w:rsid w:val="00FB4DF7"/>
    <w:rsid w:val="00FC5BBD"/>
    <w:rsid w:val="00F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1514</Characters>
  <Application>Microsoft Office Word</Application>
  <DocSecurity>4</DocSecurity>
  <Lines>12</Lines>
  <Paragraphs>3</Paragraphs>
  <ScaleCrop>false</ScaleCrop>
  <Company>CDIC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c256</cp:lastModifiedBy>
  <cp:revision>2</cp:revision>
  <cp:lastPrinted>2016-07-26T03:02:00Z</cp:lastPrinted>
  <dcterms:created xsi:type="dcterms:W3CDTF">2016-07-28T08:38:00Z</dcterms:created>
  <dcterms:modified xsi:type="dcterms:W3CDTF">2016-07-28T08:38:00Z</dcterms:modified>
</cp:coreProperties>
</file>