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EB" w:rsidRPr="00797524" w:rsidRDefault="004E67EB" w:rsidP="009B7E12">
      <w:pPr>
        <w:spacing w:line="460" w:lineRule="exact"/>
        <w:ind w:left="1695" w:hanging="1695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797524">
        <w:rPr>
          <w:rFonts w:ascii="標楷體" w:eastAsia="標楷體" w:hAnsi="標楷體"/>
          <w:b/>
          <w:sz w:val="32"/>
          <w:szCs w:val="32"/>
        </w:rPr>
        <w:t>風險指標資料</w:t>
      </w:r>
      <w:r w:rsidRPr="00797524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查核缺失態樣</w:t>
      </w:r>
      <w:r w:rsidR="00BC4476" w:rsidRPr="00797524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（1</w:t>
      </w:r>
      <w:r w:rsidR="003C256A" w:rsidRPr="00797524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10</w:t>
      </w:r>
      <w:r w:rsidR="00BC4476" w:rsidRPr="00797524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年</w:t>
      </w:r>
      <w:r w:rsidR="003C256A" w:rsidRPr="00797524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上</w:t>
      </w:r>
      <w:r w:rsidR="002D2343" w:rsidRPr="00797524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半年</w:t>
      </w:r>
      <w:r w:rsidR="00BC4476" w:rsidRPr="00797524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）</w:t>
      </w:r>
    </w:p>
    <w:p w:rsidR="00BC4476" w:rsidRPr="00797524" w:rsidRDefault="00BC4476" w:rsidP="009B7E12">
      <w:pPr>
        <w:ind w:left="1695" w:hanging="1695"/>
        <w:jc w:val="center"/>
        <w:rPr>
          <w:rFonts w:ascii="標楷體" w:eastAsia="標楷體" w:hAnsi="標楷體"/>
          <w:b/>
          <w:sz w:val="32"/>
          <w:szCs w:val="32"/>
        </w:rPr>
      </w:pPr>
      <w:r w:rsidRPr="00797524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金融機構類別：農</w:t>
      </w:r>
      <w:r w:rsidRPr="00797524">
        <w:rPr>
          <w:rFonts w:ascii="標楷體" w:eastAsia="標楷體" w:hAnsi="標楷體" w:hint="eastAsia"/>
          <w:b/>
          <w:sz w:val="32"/>
          <w:szCs w:val="32"/>
        </w:rPr>
        <w:t>會漁會信用部</w:t>
      </w: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889"/>
      </w:tblGrid>
      <w:tr w:rsidR="00476D42" w:rsidRPr="00797524" w:rsidTr="00276E80">
        <w:trPr>
          <w:trHeight w:val="4518"/>
        </w:trPr>
        <w:tc>
          <w:tcPr>
            <w:tcW w:w="8889" w:type="dxa"/>
          </w:tcPr>
          <w:p w:rsidR="004C340B" w:rsidRPr="00797524" w:rsidRDefault="00BC4476" w:rsidP="00D16063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態樣一：</w:t>
            </w:r>
            <w:r w:rsidR="004C340B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應予評估資產申報及分類錯誤：</w:t>
            </w:r>
          </w:p>
          <w:p w:rsidR="00191882" w:rsidRPr="00797524" w:rsidRDefault="0019188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1B214A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逾期</w:t>
            </w:r>
            <w:r w:rsidR="002A5B85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催收</w:t>
            </w:r>
            <w:r w:rsidR="001B214A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戶及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呆帳戶</w:t>
            </w:r>
            <w:r w:rsidR="001B214A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之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訴訟</w:t>
            </w:r>
            <w:r w:rsidR="00D972FB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或火災保險等相關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費用，</w:t>
            </w:r>
            <w:r w:rsidR="002A5B85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漏未列入評估或分類錯誤。</w:t>
            </w:r>
            <w:r w:rsidR="00D972FB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387865" w:rsidRPr="00797524" w:rsidRDefault="003177E3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19188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387865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對還本繳息有欠正常放款</w:t>
            </w:r>
            <w:r w:rsidR="003E7ED3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(含習慣性延滯繳息之協議戶)</w:t>
            </w:r>
            <w:r w:rsidR="002F1F7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及其</w:t>
            </w:r>
            <w:r w:rsidR="00387865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應收利息，漏未列入評估或分類錯誤。</w:t>
            </w:r>
          </w:p>
          <w:p w:rsidR="003E7ED3" w:rsidRPr="00797524" w:rsidRDefault="003E7ED3" w:rsidP="003E7ED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C9607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催收款項主要債權均已轉銷呆帳，且已無擔保品，剩餘債權仍評估為Ⅱ類(可望收回)</w:t>
            </w:r>
            <w:r w:rsidR="00A2632A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，有欠合理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3E7ED3" w:rsidRPr="00797524" w:rsidRDefault="003E7ED3" w:rsidP="003E7ED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4.</w:t>
            </w:r>
            <w:r w:rsidR="00A2632A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催收款項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屬移送農業信用保證基金保證</w:t>
            </w:r>
            <w:r w:rsidR="00A2632A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案件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，對未獲保證</w:t>
            </w:r>
            <w:r w:rsidR="00A2632A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部分之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評估分類錯誤。</w:t>
            </w:r>
          </w:p>
          <w:p w:rsidR="00BE4E19" w:rsidRPr="00797524" w:rsidRDefault="003E7ED3" w:rsidP="008F28CA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5.</w:t>
            </w:r>
            <w:r w:rsidR="00C9607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承受擔保品評估</w:t>
            </w:r>
            <w:r w:rsidR="00840B8B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分類錯誤</w:t>
            </w:r>
            <w:r w:rsidR="00C9607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8F7330" w:rsidRPr="00797524" w:rsidRDefault="008F7330" w:rsidP="00B83C5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6.應收</w:t>
            </w:r>
            <w:r w:rsidR="00B83C5D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款項-</w:t>
            </w:r>
            <w:r w:rsidR="003E7ED3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代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跨行</w:t>
            </w:r>
            <w:r w:rsidR="00B83C5D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(會)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本金或振興三倍</w:t>
            </w:r>
            <w:r w:rsidR="00D11CF5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券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，誤列入評估。</w:t>
            </w:r>
          </w:p>
          <w:p w:rsidR="00A2632A" w:rsidRPr="00797524" w:rsidRDefault="00A2632A" w:rsidP="00B83C5D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E67EB" w:rsidRPr="00797524" w:rsidRDefault="004E67E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</w:p>
    <w:p w:rsidR="004C340B" w:rsidRPr="00797524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4C340B" w:rsidRPr="00797524" w:rsidRDefault="009B7E12" w:rsidP="009B7E12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(</w:t>
      </w:r>
      <w:r w:rsidR="004C340B" w:rsidRPr="00797524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797524">
        <w:rPr>
          <w:rFonts w:ascii="標楷體" w:eastAsia="標楷體" w:hAnsi="標楷體" w:cs="Times New Roman" w:hint="eastAsia"/>
          <w:sz w:val="28"/>
          <w:szCs w:val="28"/>
        </w:rPr>
        <w:t>)</w:t>
      </w:r>
      <w:r w:rsidR="004C340B" w:rsidRPr="00797524">
        <w:rPr>
          <w:rFonts w:ascii="標楷體" w:eastAsia="標楷體" w:hAnsi="標楷體" w:cs="Times New Roman"/>
          <w:sz w:val="28"/>
          <w:szCs w:val="28"/>
        </w:rPr>
        <w:t>農會</w:t>
      </w:r>
      <w:r w:rsidR="004C340B" w:rsidRPr="00797524">
        <w:rPr>
          <w:rFonts w:ascii="標楷體" w:eastAsia="標楷體" w:hAnsi="標楷體"/>
          <w:sz w:val="28"/>
          <w:szCs w:val="28"/>
        </w:rPr>
        <w:t>漁會</w:t>
      </w:r>
      <w:r w:rsidR="004C340B" w:rsidRPr="00797524">
        <w:rPr>
          <w:rFonts w:ascii="標楷體" w:eastAsia="標楷體" w:hAnsi="標楷體" w:cs="Times New Roman"/>
          <w:sz w:val="28"/>
          <w:szCs w:val="28"/>
        </w:rPr>
        <w:t>信用部資產評估損失準備提列及逾期放款催收款呆帳處理辦法。</w:t>
      </w:r>
    </w:p>
    <w:p w:rsidR="004C340B" w:rsidRPr="00797524" w:rsidRDefault="009B7E12" w:rsidP="009B7E12">
      <w:pPr>
        <w:spacing w:line="460" w:lineRule="exact"/>
        <w:ind w:leftChars="177" w:left="851" w:hangingChars="152" w:hanging="426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(</w:t>
      </w:r>
      <w:r w:rsidR="004C340B" w:rsidRPr="00797524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797524">
        <w:rPr>
          <w:rFonts w:ascii="標楷體" w:eastAsia="標楷體" w:hAnsi="標楷體" w:cs="Times New Roman" w:hint="eastAsia"/>
          <w:sz w:val="28"/>
          <w:szCs w:val="28"/>
        </w:rPr>
        <w:t>)</w:t>
      </w:r>
      <w:r w:rsidR="004C340B" w:rsidRPr="00797524">
        <w:rPr>
          <w:rFonts w:ascii="標楷體" w:eastAsia="標楷體" w:hAnsi="標楷體" w:cs="Times New Roman" w:hint="eastAsia"/>
          <w:sz w:val="28"/>
          <w:szCs w:val="28"/>
        </w:rPr>
        <w:t>農會財務處理辦法第92條：「資產之評價依下列規定核計：二、</w:t>
      </w:r>
      <w:r w:rsidR="004C340B" w:rsidRPr="00797524">
        <w:rPr>
          <w:rFonts w:ascii="標楷體" w:eastAsia="標楷體" w:hAnsi="標楷體" w:hint="eastAsia"/>
          <w:sz w:val="28"/>
          <w:szCs w:val="28"/>
        </w:rPr>
        <w:t>有價證券</w:t>
      </w:r>
      <w:r w:rsidR="004C340B" w:rsidRPr="00797524">
        <w:rPr>
          <w:rFonts w:ascii="標楷體" w:eastAsia="標楷體" w:hAnsi="標楷體" w:cs="Times New Roman" w:hint="eastAsia"/>
          <w:sz w:val="28"/>
          <w:szCs w:val="28"/>
        </w:rPr>
        <w:t>、長期投資、存貨、承受擔保品及其他資產以成本為基準，成本高於時價時以時價為基準」。</w:t>
      </w:r>
    </w:p>
    <w:p w:rsidR="004C340B" w:rsidRPr="00797524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2.依規定填報並落實複核機制。</w:t>
      </w:r>
    </w:p>
    <w:p w:rsidR="004C340B" w:rsidRPr="00797524" w:rsidRDefault="004C340B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BE4E19" w:rsidRPr="00797524" w:rsidRDefault="00BE4E19" w:rsidP="00D16063">
      <w:pPr>
        <w:spacing w:line="460" w:lineRule="exact"/>
        <w:ind w:leftChars="200" w:left="175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Ind w:w="150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889"/>
      </w:tblGrid>
      <w:tr w:rsidR="00431CC5" w:rsidRPr="00797524" w:rsidTr="00276E80">
        <w:trPr>
          <w:trHeight w:val="1014"/>
        </w:trPr>
        <w:tc>
          <w:tcPr>
            <w:tcW w:w="8889" w:type="dxa"/>
          </w:tcPr>
          <w:p w:rsidR="004C340B" w:rsidRPr="00797524" w:rsidRDefault="00BC4476" w:rsidP="00D16063">
            <w:pPr>
              <w:spacing w:line="460" w:lineRule="exact"/>
              <w:ind w:left="1693" w:hanging="169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態樣二：</w:t>
            </w:r>
            <w:r w:rsidR="004C340B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資本適足率</w:t>
            </w:r>
            <w:r w:rsidR="00FC049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申報有</w:t>
            </w:r>
            <w:r w:rsidR="004C340B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誤</w:t>
            </w:r>
            <w:r w:rsidR="00FC049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差</w:t>
            </w:r>
            <w:r w:rsidR="004C340B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274874" w:rsidRPr="003E0093" w:rsidRDefault="00274874" w:rsidP="003E0093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0093">
              <w:rPr>
                <w:rFonts w:ascii="標楷體" w:eastAsia="標楷體" w:hAnsi="標楷體" w:hint="eastAsia"/>
                <w:b/>
                <w:sz w:val="28"/>
                <w:szCs w:val="28"/>
              </w:rPr>
              <w:t>可能遭受損失未列入特定損失，並自合格淨值及風險性資產總額扣除。</w:t>
            </w:r>
          </w:p>
          <w:p w:rsidR="00274874" w:rsidRPr="00797524" w:rsidRDefault="00274874" w:rsidP="003E0093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特定損失金額評估有誤，致得列入第二類資本之備抵呆帳及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營業準備錯誤。</w:t>
            </w:r>
          </w:p>
          <w:p w:rsidR="003D66DA" w:rsidRPr="00797524" w:rsidRDefault="00191882" w:rsidP="003E0093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對擔保品屬性</w:t>
            </w:r>
            <w:r w:rsidR="00274874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0F1001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營業處所、倉庫、空地</w:t>
            </w:r>
            <w:r w:rsidR="00A07E46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555E33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漁塭、</w:t>
            </w:r>
            <w:r w:rsidR="00A07E46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廠房</w:t>
            </w:r>
            <w:r w:rsidR="002738AB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274874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店鋪、</w:t>
            </w:r>
            <w:r w:rsidR="002738AB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餘屋</w:t>
            </w:r>
            <w:r w:rsidR="000F1001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或出租營業使用</w:t>
            </w:r>
            <w:r w:rsidR="00274874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非屬住宅用不動產擔保放款</w:t>
            </w:r>
            <w:r w:rsidR="00274874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含應收利息，風險權數100%</w:t>
            </w:r>
            <w:r w:rsidR="00274874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，誤列為住宅用不動產擔保放款</w:t>
            </w:r>
            <w:r w:rsidR="00274874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風險權數50%</w:t>
            </w:r>
            <w:r w:rsidR="003E0093">
              <w:rPr>
                <w:rFonts w:ascii="標楷體" w:eastAsia="標楷體" w:hAnsi="標楷體" w:hint="eastAsia"/>
                <w:b/>
                <w:sz w:val="28"/>
                <w:szCs w:val="28"/>
              </w:rPr>
              <w:t>，另110年4月29日發布修正為45%，以下同</w:t>
            </w:r>
            <w:r w:rsidR="00274874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846BD2" w:rsidRPr="00797524" w:rsidRDefault="00846BD2" w:rsidP="003E0093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對擔保品屬住宅用不動產擔保放款</w:t>
            </w:r>
            <w:r w:rsidR="00274874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風險權數50%</w:t>
            </w:r>
            <w:r w:rsidR="00274874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，誤列</w:t>
            </w:r>
            <w:r w:rsidR="002738AB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為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一般放款</w:t>
            </w:r>
            <w:r w:rsidR="00274874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風險權數100%</w:t>
            </w:r>
            <w:r w:rsidR="00274874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或移送農業信用保證基金保證放款</w:t>
            </w:r>
            <w:r w:rsidR="00274874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風險權數20%</w:t>
            </w:r>
            <w:r w:rsidR="00274874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846BD2" w:rsidRPr="00797524" w:rsidRDefault="00846BD2" w:rsidP="003E0093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屬逾期放款</w:t>
            </w:r>
            <w:r w:rsidR="00274874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風險權數100</w:t>
            </w:r>
            <w:r w:rsidR="00E67EDB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="00274874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，誤</w:t>
            </w:r>
            <w:r w:rsidR="002738AB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列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為住宅用不動產擔保放款</w:t>
            </w:r>
            <w:r w:rsidR="00274874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風險權數50</w:t>
            </w:r>
            <w:r w:rsidR="00E67EDB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="00274874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726C64" w:rsidRPr="00797524" w:rsidRDefault="00726C64" w:rsidP="003E0093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對移送農業信用保證基金保證之放款(含應收利息)，全額以風險權數20%計算，未將不受保證之成數改以一般放款之風險權數100%計算</w:t>
            </w:r>
            <w:r w:rsidR="00BD1B6C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，或保證成數建檔錯誤，致風險權數適用錯誤</w:t>
            </w:r>
            <w:r w:rsidR="00540257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，或</w:t>
            </w:r>
            <w:r w:rsidR="00D1073F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受</w:t>
            </w:r>
            <w:r w:rsidR="00540257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保證之</w:t>
            </w:r>
            <w:r w:rsidR="003936E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放款</w:t>
            </w:r>
            <w:r w:rsidR="00540257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應收利息</w:t>
            </w:r>
            <w:r w:rsidR="00274874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D1073F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風險權數20%</w:t>
            </w:r>
            <w:r w:rsidR="00274874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540257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，誤列</w:t>
            </w:r>
            <w:r w:rsidR="00D1073F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入</w:t>
            </w:r>
            <w:r w:rsidR="00540257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風險權數0%。</w:t>
            </w:r>
          </w:p>
          <w:p w:rsidR="000F1001" w:rsidRPr="00797524" w:rsidRDefault="000F1001" w:rsidP="003E0093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對未移送農業信用保證基金保證之放款</w:t>
            </w:r>
            <w:r w:rsidR="003936E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含應收利息，風險權數100%</w:t>
            </w:r>
            <w:r w:rsidR="003936E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，誤列為移送農業信用保證基金保證之放款</w:t>
            </w:r>
            <w:r w:rsidR="003936E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風險權數20%</w:t>
            </w:r>
            <w:r w:rsidR="003936E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4F45FA" w:rsidRPr="00797524" w:rsidRDefault="004F45FA" w:rsidP="003E0093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屬農業信用保證基金保證之債權</w:t>
            </w:r>
            <w:r w:rsidR="00846BD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(風險權數20%)，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誤列為住宅用不動產擔保放款</w:t>
            </w:r>
            <w:r w:rsidR="00846BD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(風險權數50%)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="003936E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一般擔保放款、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無擔保放款</w:t>
            </w:r>
            <w:r w:rsidR="003936E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或其他資產</w:t>
            </w:r>
            <w:r w:rsidR="00846BD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(風險權數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100%)。</w:t>
            </w:r>
          </w:p>
          <w:p w:rsidR="00846BD2" w:rsidRPr="00797524" w:rsidRDefault="00846BD2" w:rsidP="003E0093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29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綜合存款透支</w:t>
            </w:r>
            <w:r w:rsidR="003E0093">
              <w:rPr>
                <w:rFonts w:ascii="標楷體" w:eastAsia="標楷體" w:hAnsi="標楷體" w:hint="eastAsia"/>
                <w:b/>
                <w:sz w:val="28"/>
                <w:szCs w:val="28"/>
              </w:rPr>
              <w:t>或一般放款</w:t>
            </w:r>
            <w:r w:rsidR="003936E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風險權數100</w:t>
            </w:r>
            <w:r w:rsidR="00E67EDB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="003936E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，誤列為一般放款-擔保-存單質借</w:t>
            </w:r>
            <w:r w:rsidR="003936E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風險權數0</w:t>
            </w:r>
            <w:r w:rsidR="00E67EDB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%</w:t>
            </w:r>
            <w:r w:rsidR="003936E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3E0093" w:rsidRDefault="003E0093" w:rsidP="00B81C91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4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6037">
              <w:rPr>
                <w:rFonts w:ascii="標楷體" w:eastAsia="標楷體" w:hAnsi="標楷體" w:hint="eastAsia"/>
                <w:b/>
                <w:sz w:val="28"/>
                <w:szCs w:val="28"/>
              </w:rPr>
              <w:t>應收利息屬於「存單質借」(風險權數0%)、「對地方政府債權」(風險權數10%)及「住宅用不動產擔保放款」(風險權數50%)者，誤列於風險權數100%。</w:t>
            </w:r>
          </w:p>
          <w:p w:rsidR="00F772BC" w:rsidRPr="00797524" w:rsidRDefault="00F772BC" w:rsidP="00B81C91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4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應收款項-振興三倍券</w:t>
            </w:r>
            <w:r w:rsidR="003936E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D64C61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風險權數0%</w:t>
            </w:r>
            <w:r w:rsidR="003936E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)，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誤列</w:t>
            </w:r>
            <w:r w:rsidR="00D64C61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入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風險權數100%。</w:t>
            </w:r>
          </w:p>
          <w:p w:rsidR="00B81C91" w:rsidRDefault="00B81C91" w:rsidP="00B81C91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4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6037">
              <w:rPr>
                <w:rFonts w:ascii="標楷體" w:eastAsia="標楷體" w:hAnsi="標楷體" w:hint="eastAsia"/>
                <w:b/>
                <w:sz w:val="28"/>
                <w:szCs w:val="28"/>
              </w:rPr>
              <w:t>存出保證金-保證證券(風險權數0%)，誤列為存出保證金-押金（風險權數100%）。</w:t>
            </w:r>
          </w:p>
          <w:p w:rsidR="00B81C91" w:rsidRPr="00F32C47" w:rsidRDefault="00540257" w:rsidP="00B81C91">
            <w:pPr>
              <w:pStyle w:val="a3"/>
              <w:numPr>
                <w:ilvl w:val="0"/>
                <w:numId w:val="12"/>
              </w:numPr>
              <w:spacing w:line="460" w:lineRule="exact"/>
              <w:ind w:leftChars="0" w:left="1404" w:hanging="4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2C47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政策性專案農貸</w:t>
            </w:r>
            <w:r w:rsidR="003936E2" w:rsidRPr="00F32C47">
              <w:rPr>
                <w:rFonts w:ascii="標楷體" w:eastAsia="標楷體" w:hAnsi="標楷體" w:hint="eastAsia"/>
                <w:b/>
                <w:sz w:val="28"/>
                <w:szCs w:val="28"/>
              </w:rPr>
              <w:t>之</w:t>
            </w:r>
            <w:r w:rsidRPr="00F32C47">
              <w:rPr>
                <w:rFonts w:ascii="標楷體" w:eastAsia="標楷體" w:hAnsi="標楷體" w:hint="eastAsia"/>
                <w:b/>
                <w:sz w:val="28"/>
                <w:szCs w:val="28"/>
              </w:rPr>
              <w:t>應收補貼</w:t>
            </w:r>
            <w:r w:rsidR="00407653" w:rsidRPr="00F32C47">
              <w:rPr>
                <w:rFonts w:ascii="標楷體" w:eastAsia="標楷體" w:hAnsi="標楷體" w:hint="eastAsia"/>
                <w:b/>
                <w:sz w:val="28"/>
                <w:szCs w:val="28"/>
              </w:rPr>
              <w:t>利</w:t>
            </w:r>
            <w:r w:rsidRPr="00F32C47">
              <w:rPr>
                <w:rFonts w:ascii="標楷體" w:eastAsia="標楷體" w:hAnsi="標楷體" w:hint="eastAsia"/>
                <w:b/>
                <w:sz w:val="28"/>
                <w:szCs w:val="28"/>
              </w:rPr>
              <w:t>息金額少列。</w:t>
            </w:r>
          </w:p>
          <w:p w:rsidR="003936E2" w:rsidRPr="00797524" w:rsidRDefault="003936E2" w:rsidP="003936E2">
            <w:pPr>
              <w:spacing w:line="460" w:lineRule="exact"/>
              <w:ind w:left="1410" w:hanging="28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31CC5" w:rsidRPr="00797524" w:rsidRDefault="00431CC5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改善作法：</w:t>
      </w:r>
    </w:p>
    <w:p w:rsidR="004C340B" w:rsidRPr="00F32C47" w:rsidRDefault="004C340B" w:rsidP="00F32C47">
      <w:pPr>
        <w:pStyle w:val="a3"/>
        <w:numPr>
          <w:ilvl w:val="0"/>
          <w:numId w:val="14"/>
        </w:numPr>
        <w:spacing w:line="460" w:lineRule="exact"/>
        <w:ind w:leftChars="0" w:left="426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F32C47">
        <w:rPr>
          <w:rFonts w:ascii="標楷體" w:eastAsia="標楷體" w:hAnsi="標楷體" w:cs="Times New Roman" w:hint="eastAsia"/>
          <w:sz w:val="28"/>
          <w:szCs w:val="28"/>
        </w:rPr>
        <w:t>參考法規：</w:t>
      </w:r>
    </w:p>
    <w:p w:rsidR="004C340B" w:rsidRDefault="004C340B" w:rsidP="00F32C47">
      <w:pPr>
        <w:pStyle w:val="a3"/>
        <w:numPr>
          <w:ilvl w:val="0"/>
          <w:numId w:val="16"/>
        </w:numPr>
        <w:spacing w:line="460" w:lineRule="exact"/>
        <w:ind w:leftChars="0" w:left="709" w:hanging="425"/>
        <w:jc w:val="both"/>
        <w:rPr>
          <w:rFonts w:ascii="標楷體" w:eastAsia="標楷體" w:hAnsi="標楷體" w:cs="Times New Roman"/>
          <w:sz w:val="28"/>
          <w:szCs w:val="28"/>
        </w:rPr>
      </w:pPr>
      <w:r w:rsidRPr="00F32C47">
        <w:rPr>
          <w:rFonts w:ascii="標楷體" w:eastAsia="標楷體" w:hAnsi="標楷體" w:cs="Times New Roman" w:hint="eastAsia"/>
          <w:sz w:val="28"/>
          <w:szCs w:val="28"/>
        </w:rPr>
        <w:t>農會漁會信用部淨值占風險性資產比率管理辦法。</w:t>
      </w:r>
    </w:p>
    <w:p w:rsidR="00F32C47" w:rsidRPr="00F32C47" w:rsidRDefault="00F32C47" w:rsidP="00F32C47">
      <w:pPr>
        <w:pStyle w:val="a3"/>
        <w:numPr>
          <w:ilvl w:val="0"/>
          <w:numId w:val="16"/>
        </w:numPr>
        <w:spacing w:line="460" w:lineRule="exact"/>
        <w:ind w:leftChars="0" w:left="709" w:hanging="425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另依行政院農業委員會</w:t>
      </w:r>
      <w:r w:rsidR="00DE1822">
        <w:rPr>
          <w:rFonts w:ascii="標楷體" w:eastAsia="標楷體" w:hAnsi="標楷體" w:cs="Times New Roman" w:hint="eastAsia"/>
          <w:sz w:val="28"/>
          <w:szCs w:val="28"/>
        </w:rPr>
        <w:t>110年4月29日農金字第1105074150A號令</w:t>
      </w:r>
      <w:r w:rsidR="00DE1822" w:rsidRPr="00DE1822">
        <w:rPr>
          <w:rFonts w:ascii="標楷體" w:eastAsia="標楷體" w:hAnsi="標楷體" w:cs="Times New Roman" w:hint="eastAsia"/>
          <w:sz w:val="28"/>
          <w:szCs w:val="28"/>
        </w:rPr>
        <w:t>發布修正</w:t>
      </w:r>
      <w:r w:rsidR="00DE1822">
        <w:rPr>
          <w:rFonts w:ascii="標楷體" w:eastAsia="標楷體" w:hAnsi="標楷體" w:cs="Times New Roman" w:hint="eastAsia"/>
          <w:sz w:val="28"/>
          <w:szCs w:val="28"/>
        </w:rPr>
        <w:t>住宅用不動產擔保放款及其應收利息之風險權數</w:t>
      </w:r>
      <w:r w:rsidR="00DE1822" w:rsidRPr="00DE1822">
        <w:rPr>
          <w:rFonts w:ascii="標楷體" w:eastAsia="標楷體" w:hAnsi="標楷體" w:cs="Times New Roman" w:hint="eastAsia"/>
          <w:sz w:val="28"/>
          <w:szCs w:val="28"/>
        </w:rPr>
        <w:t>為45%</w:t>
      </w:r>
      <w:r w:rsidR="00DE1822">
        <w:rPr>
          <w:rFonts w:ascii="標楷體" w:eastAsia="標楷體" w:hAnsi="標楷體" w:cs="Times New Roman" w:hint="eastAsia"/>
          <w:sz w:val="28"/>
          <w:szCs w:val="28"/>
        </w:rPr>
        <w:t>（原為50%）。</w:t>
      </w:r>
    </w:p>
    <w:p w:rsidR="004C340B" w:rsidRPr="00797524" w:rsidRDefault="004C340B" w:rsidP="00F32C47">
      <w:pPr>
        <w:pStyle w:val="a3"/>
        <w:numPr>
          <w:ilvl w:val="0"/>
          <w:numId w:val="14"/>
        </w:numPr>
        <w:spacing w:line="460" w:lineRule="exact"/>
        <w:ind w:leftChars="0" w:left="426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正確建檔並依規定填報及落實複核機制。</w:t>
      </w:r>
    </w:p>
    <w:p w:rsidR="004C340B" w:rsidRPr="00797524" w:rsidRDefault="004C340B" w:rsidP="00F32C47">
      <w:pPr>
        <w:pStyle w:val="a3"/>
        <w:numPr>
          <w:ilvl w:val="0"/>
          <w:numId w:val="14"/>
        </w:numPr>
        <w:spacing w:line="460" w:lineRule="exact"/>
        <w:ind w:leftChars="0" w:left="426" w:hanging="284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內部稽核將申報資料正確性列為查核重點。</w:t>
      </w:r>
    </w:p>
    <w:p w:rsidR="00431CC5" w:rsidRPr="00797524" w:rsidRDefault="00431CC5" w:rsidP="00D16063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8931" w:type="dxa"/>
        <w:tblInd w:w="108" w:type="dxa"/>
        <w:tblBorders>
          <w:top w:val="thinThickThinSmallGap" w:sz="24" w:space="0" w:color="548DD4" w:themeColor="text2" w:themeTint="99"/>
          <w:left w:val="thinThickThinSmallGap" w:sz="24" w:space="0" w:color="548DD4" w:themeColor="text2" w:themeTint="99"/>
          <w:bottom w:val="thinThickThinSmallGap" w:sz="24" w:space="0" w:color="548DD4" w:themeColor="text2" w:themeTint="99"/>
          <w:right w:val="thinThickThinSmallGap" w:sz="24" w:space="0" w:color="548DD4" w:themeColor="text2" w:themeTint="99"/>
          <w:insideH w:val="thinThickThinSmallGap" w:sz="24" w:space="0" w:color="548DD4" w:themeColor="text2" w:themeTint="99"/>
          <w:insideV w:val="thinThickThinSmallGap" w:sz="24" w:space="0" w:color="548DD4" w:themeColor="text2" w:themeTint="99"/>
        </w:tblBorders>
        <w:tblLook w:val="04A0"/>
      </w:tblPr>
      <w:tblGrid>
        <w:gridCol w:w="8931"/>
      </w:tblGrid>
      <w:tr w:rsidR="00663D94" w:rsidRPr="00797524" w:rsidTr="0072515B">
        <w:trPr>
          <w:trHeight w:val="3563"/>
        </w:trPr>
        <w:tc>
          <w:tcPr>
            <w:tcW w:w="8931" w:type="dxa"/>
          </w:tcPr>
          <w:p w:rsidR="00663D94" w:rsidRPr="00797524" w:rsidRDefault="00663D94" w:rsidP="003936E2">
            <w:pPr>
              <w:spacing w:line="460" w:lineRule="exact"/>
              <w:ind w:left="1134" w:hanging="1134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態樣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：利害關係</w:t>
            </w:r>
            <w:r w:rsidR="00576D8C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擔保授信總額申報錯誤：</w:t>
            </w:r>
          </w:p>
          <w:p w:rsidR="00DE1822" w:rsidRDefault="001C0D67" w:rsidP="00576D8C">
            <w:pPr>
              <w:pStyle w:val="a3"/>
              <w:numPr>
                <w:ilvl w:val="1"/>
                <w:numId w:val="17"/>
              </w:numPr>
              <w:spacing w:line="460" w:lineRule="exact"/>
              <w:ind w:leftChars="0" w:left="1390" w:hanging="308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漏</w:t>
            </w:r>
            <w:r w:rsidR="008B713F" w:rsidRPr="00DE1822">
              <w:rPr>
                <w:rFonts w:ascii="標楷體" w:eastAsia="標楷體" w:hAnsi="標楷體" w:hint="eastAsia"/>
                <w:b/>
                <w:sz w:val="28"/>
                <w:szCs w:val="28"/>
              </w:rPr>
              <w:t>未</w:t>
            </w:r>
            <w:r w:rsidRPr="006D6037">
              <w:rPr>
                <w:rFonts w:ascii="標楷體" w:eastAsia="標楷體" w:hAnsi="標楷體" w:hint="eastAsia"/>
                <w:b/>
                <w:sz w:val="28"/>
                <w:szCs w:val="28"/>
              </w:rPr>
              <w:t>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計</w:t>
            </w:r>
            <w:r w:rsidRPr="006D6037">
              <w:rPr>
                <w:rFonts w:ascii="標楷體" w:eastAsia="標楷體" w:hAnsi="標楷體" w:hint="eastAsia"/>
                <w:b/>
                <w:sz w:val="28"/>
                <w:szCs w:val="28"/>
              </w:rPr>
              <w:t>職員之擔保放款。</w:t>
            </w:r>
          </w:p>
          <w:p w:rsidR="00663D94" w:rsidRPr="00DE1822" w:rsidRDefault="00663D94" w:rsidP="00576D8C">
            <w:pPr>
              <w:pStyle w:val="a3"/>
              <w:numPr>
                <w:ilvl w:val="1"/>
                <w:numId w:val="17"/>
              </w:numPr>
              <w:spacing w:line="460" w:lineRule="exact"/>
              <w:ind w:leftChars="0" w:left="1390" w:hanging="308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DE1822">
              <w:rPr>
                <w:rFonts w:ascii="標楷體" w:eastAsia="標楷體" w:hAnsi="標楷體" w:hint="eastAsia"/>
                <w:b/>
                <w:sz w:val="28"/>
                <w:szCs w:val="28"/>
              </w:rPr>
              <w:t>漏未列計屬</w:t>
            </w:r>
            <w:r w:rsidRPr="00DE182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理事、監事、總幹事、信用部主任或辦理授信職員之有利害關係者</w:t>
            </w:r>
            <w:r w:rsidRPr="00DE1822">
              <w:rPr>
                <w:rFonts w:ascii="標楷體" w:eastAsia="標楷體" w:hAnsi="標楷體" w:hint="eastAsia"/>
                <w:b/>
                <w:sz w:val="28"/>
                <w:szCs w:val="28"/>
              </w:rPr>
              <w:t>擔保</w:t>
            </w:r>
            <w:r w:rsidRPr="00DE182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授信。</w:t>
            </w:r>
          </w:p>
          <w:p w:rsidR="00EA3B43" w:rsidRPr="00797524" w:rsidRDefault="00497376" w:rsidP="00576D8C">
            <w:pPr>
              <w:pStyle w:val="a3"/>
              <w:numPr>
                <w:ilvl w:val="1"/>
                <w:numId w:val="17"/>
              </w:numPr>
              <w:spacing w:line="460" w:lineRule="exact"/>
              <w:ind w:leftChars="0" w:left="1390" w:hanging="30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誤將職員辦理之無擔保消費放款</w:t>
            </w:r>
            <w:r w:rsidR="00A668CD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或授信審議委員</w:t>
            </w:r>
            <w:r w:rsidR="003936E2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、非辦理授信職員</w:t>
            </w:r>
            <w:r w:rsidR="00A668CD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之有利害關係者放款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列入申報</w:t>
            </w:r>
            <w:r w:rsidR="00E619DC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:rsidR="00F415C2" w:rsidRPr="00797524" w:rsidRDefault="00F415C2" w:rsidP="003936E2">
      <w:pPr>
        <w:spacing w:line="460" w:lineRule="exact"/>
        <w:ind w:leftChars="59" w:left="1418" w:hanging="1276"/>
        <w:jc w:val="both"/>
        <w:rPr>
          <w:rFonts w:ascii="標楷體" w:eastAsia="標楷體" w:hAnsi="標楷體"/>
          <w:b/>
          <w:spacing w:val="-14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b/>
          <w:sz w:val="28"/>
          <w:szCs w:val="28"/>
        </w:rPr>
        <w:t>改善作法</w:t>
      </w:r>
      <w:r w:rsidRPr="00797524">
        <w:rPr>
          <w:rFonts w:ascii="標楷體" w:eastAsia="標楷體" w:hAnsi="標楷體" w:hint="eastAsia"/>
          <w:b/>
          <w:spacing w:val="-14"/>
          <w:sz w:val="28"/>
          <w:szCs w:val="28"/>
        </w:rPr>
        <w:t>：</w:t>
      </w:r>
    </w:p>
    <w:p w:rsidR="0040089B" w:rsidRPr="00797524" w:rsidRDefault="00F415C2" w:rsidP="0040089B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F415C2" w:rsidRPr="00797524" w:rsidRDefault="00F415C2" w:rsidP="001C0D67">
      <w:pPr>
        <w:pStyle w:val="a3"/>
        <w:numPr>
          <w:ilvl w:val="0"/>
          <w:numId w:val="18"/>
        </w:numPr>
        <w:spacing w:line="460" w:lineRule="exact"/>
        <w:ind w:leftChars="0" w:left="709" w:hanging="425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農</w:t>
      </w:r>
      <w:r w:rsidR="00DD2822" w:rsidRPr="00797524">
        <w:rPr>
          <w:rFonts w:ascii="標楷體" w:eastAsia="標楷體" w:hAnsi="標楷體" w:cs="Times New Roman" w:hint="eastAsia"/>
          <w:sz w:val="28"/>
          <w:szCs w:val="28"/>
        </w:rPr>
        <w:t>業</w:t>
      </w:r>
      <w:r w:rsidRPr="00797524">
        <w:rPr>
          <w:rFonts w:ascii="標楷體" w:eastAsia="標楷體" w:hAnsi="標楷體" w:cs="Times New Roman" w:hint="eastAsia"/>
          <w:sz w:val="28"/>
          <w:szCs w:val="28"/>
        </w:rPr>
        <w:t>金</w:t>
      </w:r>
      <w:r w:rsidR="00DD2822" w:rsidRPr="00797524">
        <w:rPr>
          <w:rFonts w:ascii="標楷體" w:eastAsia="標楷體" w:hAnsi="標楷體" w:cs="Times New Roman" w:hint="eastAsia"/>
          <w:sz w:val="28"/>
          <w:szCs w:val="28"/>
        </w:rPr>
        <w:t>融</w:t>
      </w:r>
      <w:r w:rsidRPr="00797524">
        <w:rPr>
          <w:rFonts w:ascii="標楷體" w:eastAsia="標楷體" w:hAnsi="標楷體" w:cs="Times New Roman" w:hint="eastAsia"/>
          <w:sz w:val="28"/>
          <w:szCs w:val="28"/>
        </w:rPr>
        <w:t>法準用銀行法第32條(對利害關係人無擔保授信之限制 )、第33條(對利害關係人擔保授信之限制）等規定。</w:t>
      </w:r>
    </w:p>
    <w:p w:rsidR="00D75CED" w:rsidRPr="00797524" w:rsidRDefault="00D75CED" w:rsidP="001C0D67">
      <w:pPr>
        <w:pStyle w:val="a3"/>
        <w:numPr>
          <w:ilvl w:val="0"/>
          <w:numId w:val="18"/>
        </w:numPr>
        <w:spacing w:line="460" w:lineRule="exact"/>
        <w:ind w:leftChars="0" w:left="709" w:hanging="425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農會漁會信用部各項風險控制比率管理辦法</w:t>
      </w:r>
      <w:r w:rsidR="00DD2822" w:rsidRPr="00797524">
        <w:rPr>
          <w:rFonts w:ascii="標楷體" w:eastAsia="標楷體" w:hAnsi="標楷體" w:cs="Times New Roman" w:hint="eastAsia"/>
          <w:sz w:val="28"/>
          <w:szCs w:val="28"/>
        </w:rPr>
        <w:t>第6及7條規定</w:t>
      </w:r>
      <w:r w:rsidRPr="0079752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415C2" w:rsidRPr="00797524" w:rsidRDefault="00BD60ED" w:rsidP="0040089B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2</w:t>
      </w:r>
      <w:r w:rsidR="00F415C2" w:rsidRPr="00797524">
        <w:rPr>
          <w:rFonts w:ascii="標楷體" w:eastAsia="標楷體" w:hAnsi="標楷體" w:cs="Times New Roman" w:hint="eastAsia"/>
          <w:sz w:val="28"/>
          <w:szCs w:val="28"/>
        </w:rPr>
        <w:t>.正確建檔並依規定填報及落實複核機制。</w:t>
      </w:r>
    </w:p>
    <w:p w:rsidR="00663D94" w:rsidRPr="00797524" w:rsidRDefault="00BD60ED" w:rsidP="0040089B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3</w:t>
      </w:r>
      <w:r w:rsidR="00F415C2" w:rsidRPr="00797524">
        <w:rPr>
          <w:rFonts w:ascii="標楷體" w:eastAsia="標楷體" w:hAnsi="標楷體" w:cs="Times New Roman" w:hint="eastAsia"/>
          <w:sz w:val="28"/>
          <w:szCs w:val="28"/>
        </w:rPr>
        <w:t>.內部稽核將申報資料正確性列為查核重點。</w:t>
      </w:r>
    </w:p>
    <w:p w:rsidR="00663D94" w:rsidRPr="00797524" w:rsidRDefault="00663D94" w:rsidP="00D16063">
      <w:pPr>
        <w:spacing w:line="460" w:lineRule="exact"/>
        <w:ind w:left="1276" w:hanging="1276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8931" w:type="dxa"/>
        <w:tblInd w:w="108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931"/>
      </w:tblGrid>
      <w:tr w:rsidR="00787153" w:rsidRPr="00797524" w:rsidTr="0072515B">
        <w:trPr>
          <w:trHeight w:val="2637"/>
        </w:trPr>
        <w:tc>
          <w:tcPr>
            <w:tcW w:w="8931" w:type="dxa"/>
          </w:tcPr>
          <w:p w:rsidR="00787153" w:rsidRPr="00797524" w:rsidRDefault="00787153" w:rsidP="003936E2">
            <w:pPr>
              <w:spacing w:line="460" w:lineRule="exact"/>
              <w:ind w:left="1134" w:hanging="1134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態樣</w:t>
            </w:r>
            <w:r w:rsidR="004117E8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：建築貸款申報錯誤：</w:t>
            </w:r>
          </w:p>
          <w:p w:rsidR="00191882" w:rsidRPr="00797524" w:rsidRDefault="0019188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1.未將</w:t>
            </w:r>
            <w:r w:rsidR="00ED4A59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建築業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所辦理之購地</w:t>
            </w:r>
            <w:r w:rsidR="00A07E46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、興建房屋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及週轉金貸款列入申報。</w:t>
            </w:r>
            <w:r w:rsidR="003D66DA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0F1001" w:rsidRPr="00797524" w:rsidRDefault="00191882" w:rsidP="00D1606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2.未將從事建築投資</w:t>
            </w:r>
            <w:r w:rsidR="002738AB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之個人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所辦理之</w:t>
            </w:r>
            <w:r w:rsidR="00ED4A59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購地及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週轉金貸款列入申報。</w:t>
            </w:r>
            <w:r w:rsidR="003D66DA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8166F3" w:rsidRPr="00797524" w:rsidRDefault="00A07E46" w:rsidP="0072515B">
            <w:pPr>
              <w:spacing w:line="460" w:lineRule="exact"/>
              <w:ind w:left="1134" w:firstLine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3.</w:t>
            </w:r>
            <w:r w:rsidR="002738AB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誤將</w:t>
            </w:r>
            <w:r w:rsidR="008166F3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非從事建築投資之</w:t>
            </w:r>
            <w:r w:rsidR="002738AB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個人</w:t>
            </w:r>
            <w:r w:rsidR="00D46C99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所辦理之</w:t>
            </w:r>
            <w:r w:rsidR="008166F3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貸款</w:t>
            </w:r>
            <w:r w:rsidR="002738AB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列入申報</w:t>
            </w:r>
            <w:r w:rsidR="008166F3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</w:tr>
    </w:tbl>
    <w:p w:rsidR="00787153" w:rsidRPr="00797524" w:rsidRDefault="00787153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</w:p>
    <w:p w:rsidR="00787153" w:rsidRPr="00797524" w:rsidRDefault="00787153" w:rsidP="00D16063">
      <w:pPr>
        <w:spacing w:line="460" w:lineRule="exact"/>
        <w:ind w:leftChars="59" w:left="1418" w:hanging="1276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3D66DA" w:rsidRPr="00797524" w:rsidRDefault="003D66DA" w:rsidP="00D16063">
      <w:pPr>
        <w:spacing w:line="460" w:lineRule="exact"/>
        <w:ind w:leftChars="177" w:left="425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行政院農業委員會106年8月28日農授金字第1065074401號函修正</w:t>
      </w:r>
      <w:r w:rsidRPr="00797524">
        <w:rPr>
          <w:rFonts w:ascii="標楷體" w:eastAsia="標楷體" w:hAnsi="標楷體" w:cs="Times New Roman"/>
          <w:sz w:val="28"/>
          <w:szCs w:val="28"/>
        </w:rPr>
        <w:t>「農漁會信用部建築貸款管控措施（</w:t>
      </w:r>
      <w:r w:rsidRPr="00797524">
        <w:rPr>
          <w:rFonts w:ascii="標楷體" w:eastAsia="標楷體" w:hAnsi="標楷體" w:cs="Times New Roman" w:hint="eastAsia"/>
          <w:sz w:val="28"/>
          <w:szCs w:val="28"/>
        </w:rPr>
        <w:t>含</w:t>
      </w:r>
      <w:r w:rsidRPr="00797524">
        <w:rPr>
          <w:rFonts w:ascii="標楷體" w:eastAsia="標楷體" w:hAnsi="標楷體" w:cs="Times New Roman"/>
          <w:sz w:val="28"/>
          <w:szCs w:val="28"/>
        </w:rPr>
        <w:t>問與答）」</w:t>
      </w:r>
      <w:r w:rsidRPr="00797524">
        <w:rPr>
          <w:rFonts w:ascii="標楷體" w:eastAsia="標楷體" w:hAnsi="標楷體" w:cs="Times New Roman" w:hint="eastAsia"/>
          <w:sz w:val="28"/>
          <w:szCs w:val="28"/>
        </w:rPr>
        <w:t>，建築貸款範圍如下:</w:t>
      </w:r>
    </w:p>
    <w:p w:rsidR="003D66DA" w:rsidRPr="00797524" w:rsidRDefault="003D66DA" w:rsidP="001C0D67">
      <w:pPr>
        <w:pStyle w:val="a3"/>
        <w:numPr>
          <w:ilvl w:val="0"/>
          <w:numId w:val="19"/>
        </w:numPr>
        <w:spacing w:line="460" w:lineRule="exact"/>
        <w:ind w:leftChars="0" w:left="709" w:hanging="425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/>
          <w:sz w:val="28"/>
          <w:szCs w:val="28"/>
        </w:rPr>
        <w:t>建築業貸款：係指對以房屋興建投資為主要業務之企業承做之購地、興建房屋及週轉金貸款，但房屋興建 屬自用部分則不包含之。</w:t>
      </w:r>
    </w:p>
    <w:p w:rsidR="003D66DA" w:rsidRPr="00797524" w:rsidRDefault="003D66DA" w:rsidP="001C0D67">
      <w:pPr>
        <w:pStyle w:val="a3"/>
        <w:numPr>
          <w:ilvl w:val="0"/>
          <w:numId w:val="19"/>
        </w:numPr>
        <w:spacing w:line="460" w:lineRule="exact"/>
        <w:ind w:leftChars="0" w:left="709" w:hanging="425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/>
          <w:sz w:val="28"/>
          <w:szCs w:val="28"/>
        </w:rPr>
        <w:t>對其他企業建築貸款：係指對建築業以外之企業因承做房屋興建投資所辦理之購地、興建房屋及週轉金貸 款，但房屋興建屬自用部分則不包含之。</w:t>
      </w:r>
    </w:p>
    <w:p w:rsidR="003D66DA" w:rsidRPr="00797524" w:rsidRDefault="003D66DA" w:rsidP="001C0D67">
      <w:pPr>
        <w:pStyle w:val="a3"/>
        <w:numPr>
          <w:ilvl w:val="0"/>
          <w:numId w:val="19"/>
        </w:numPr>
        <w:spacing w:line="460" w:lineRule="exact"/>
        <w:ind w:leftChars="0" w:left="709" w:hanging="425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/>
          <w:sz w:val="28"/>
          <w:szCs w:val="28"/>
        </w:rPr>
        <w:t>對個人戶建築貸款：係指對從事建築投資之個人所辦理之購地、興建房屋及週轉金貸款，但房屋興建屬自用部分則不包含之。</w:t>
      </w:r>
    </w:p>
    <w:p w:rsidR="003D66DA" w:rsidRPr="00797524" w:rsidRDefault="003D66DA" w:rsidP="00D16063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2.正確建檔並依規定填報及落實複核機制。</w:t>
      </w:r>
    </w:p>
    <w:p w:rsidR="009B59DC" w:rsidRPr="00797524" w:rsidRDefault="003D66DA" w:rsidP="00D16063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E455BF" w:rsidRPr="00797524" w:rsidRDefault="00E455BF" w:rsidP="0072515B">
      <w:pPr>
        <w:spacing w:line="42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W w:w="8931" w:type="dxa"/>
        <w:tblInd w:w="108" w:type="dxa"/>
        <w:tblBorders>
          <w:top w:val="thinThickThinSmallGap" w:sz="24" w:space="0" w:color="0070C0"/>
          <w:left w:val="thinThickThinSmallGap" w:sz="24" w:space="0" w:color="0070C0"/>
          <w:bottom w:val="thinThickThinSmallGap" w:sz="24" w:space="0" w:color="0070C0"/>
          <w:right w:val="thinThickThinSmallGap" w:sz="24" w:space="0" w:color="0070C0"/>
          <w:insideH w:val="thinThickThinSmallGap" w:sz="24" w:space="0" w:color="0070C0"/>
          <w:insideV w:val="thinThickThinSmallGap" w:sz="24" w:space="0" w:color="0070C0"/>
        </w:tblBorders>
        <w:tblLook w:val="04A0"/>
      </w:tblPr>
      <w:tblGrid>
        <w:gridCol w:w="8931"/>
      </w:tblGrid>
      <w:tr w:rsidR="008D4429" w:rsidRPr="00797524" w:rsidTr="0072515B">
        <w:trPr>
          <w:trHeight w:val="1808"/>
        </w:trPr>
        <w:tc>
          <w:tcPr>
            <w:tcW w:w="8931" w:type="dxa"/>
          </w:tcPr>
          <w:p w:rsidR="008D4429" w:rsidRPr="00797524" w:rsidRDefault="008D4429" w:rsidP="003E0093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態樣</w:t>
            </w:r>
            <w:r w:rsidR="0072515B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：流動準備比率申報錯誤：</w:t>
            </w:r>
          </w:p>
          <w:p w:rsidR="008D4429" w:rsidRPr="00797524" w:rsidRDefault="008D4429" w:rsidP="003E0093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1.未扣除定期存單已設定質權金額。</w:t>
            </w:r>
          </w:p>
          <w:p w:rsidR="008D4429" w:rsidRPr="00797524" w:rsidRDefault="008D4429" w:rsidP="0072515B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2.設質予台灣銀行之存單提前建檔，致流動準備資產少計。</w:t>
            </w:r>
          </w:p>
        </w:tc>
      </w:tr>
    </w:tbl>
    <w:p w:rsidR="008D4429" w:rsidRPr="00797524" w:rsidRDefault="008D4429" w:rsidP="008D4429">
      <w:pPr>
        <w:spacing w:line="460" w:lineRule="exact"/>
        <w:ind w:leftChars="59" w:left="1418" w:hanging="1276"/>
        <w:jc w:val="both"/>
        <w:rPr>
          <w:rFonts w:ascii="標楷體" w:eastAsia="標楷體" w:hAnsi="標楷體"/>
          <w:b/>
          <w:sz w:val="28"/>
          <w:szCs w:val="28"/>
        </w:rPr>
      </w:pPr>
      <w:r w:rsidRPr="00797524">
        <w:rPr>
          <w:rFonts w:ascii="標楷體" w:eastAsia="標楷體" w:hAnsi="標楷體" w:hint="eastAsia"/>
          <w:b/>
          <w:sz w:val="28"/>
          <w:szCs w:val="28"/>
        </w:rPr>
        <w:t>改善</w:t>
      </w:r>
      <w:r w:rsidRPr="00797524">
        <w:rPr>
          <w:rFonts w:ascii="標楷體" w:eastAsia="標楷體" w:hAnsi="標楷體" w:cs="Times New Roman" w:hint="eastAsia"/>
          <w:b/>
          <w:sz w:val="28"/>
          <w:szCs w:val="28"/>
        </w:rPr>
        <w:t>作法</w:t>
      </w:r>
      <w:r w:rsidRPr="0079752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D4429" w:rsidRPr="00797524" w:rsidRDefault="008D4429" w:rsidP="008D4429">
      <w:pPr>
        <w:spacing w:line="460" w:lineRule="exact"/>
        <w:ind w:leftChars="59" w:left="1418" w:hanging="1276"/>
        <w:jc w:val="both"/>
        <w:rPr>
          <w:rFonts w:ascii="標楷體" w:eastAsia="標楷體" w:hAnsi="標楷體"/>
          <w:sz w:val="28"/>
          <w:szCs w:val="28"/>
        </w:rPr>
      </w:pPr>
      <w:r w:rsidRPr="00797524">
        <w:rPr>
          <w:rFonts w:ascii="標楷體" w:eastAsia="標楷體" w:hAnsi="標楷體" w:hint="eastAsia"/>
          <w:sz w:val="28"/>
          <w:szCs w:val="28"/>
        </w:rPr>
        <w:t>1.參考</w:t>
      </w:r>
      <w:r w:rsidRPr="00797524">
        <w:rPr>
          <w:rFonts w:ascii="標楷體" w:eastAsia="標楷體" w:hAnsi="標楷體" w:cs="Times New Roman" w:hint="eastAsia"/>
          <w:sz w:val="28"/>
          <w:szCs w:val="28"/>
        </w:rPr>
        <w:t>法規</w:t>
      </w:r>
      <w:r w:rsidRPr="00797524">
        <w:rPr>
          <w:rFonts w:ascii="標楷體" w:eastAsia="標楷體" w:hAnsi="標楷體" w:hint="eastAsia"/>
          <w:sz w:val="28"/>
          <w:szCs w:val="28"/>
        </w:rPr>
        <w:t>：</w:t>
      </w:r>
    </w:p>
    <w:p w:rsidR="008D4429" w:rsidRPr="00797524" w:rsidRDefault="008D4429" w:rsidP="001C0D67">
      <w:pPr>
        <w:pStyle w:val="a3"/>
        <w:numPr>
          <w:ilvl w:val="0"/>
          <w:numId w:val="20"/>
        </w:numPr>
        <w:spacing w:line="460" w:lineRule="exact"/>
        <w:ind w:leftChars="0" w:left="709" w:hanging="425"/>
        <w:jc w:val="both"/>
        <w:rPr>
          <w:rFonts w:ascii="標楷體" w:eastAsia="標楷體" w:hAnsi="標楷體"/>
          <w:sz w:val="28"/>
          <w:szCs w:val="28"/>
        </w:rPr>
      </w:pPr>
      <w:r w:rsidRPr="00797524">
        <w:rPr>
          <w:rFonts w:ascii="標楷體" w:eastAsia="標楷體" w:hAnsi="標楷體" w:hint="eastAsia"/>
          <w:sz w:val="28"/>
          <w:szCs w:val="28"/>
        </w:rPr>
        <w:t>金融機構存款及其他各種負債準備金調整及查核辦法。</w:t>
      </w:r>
    </w:p>
    <w:p w:rsidR="008D4429" w:rsidRPr="00797524" w:rsidRDefault="008D4429" w:rsidP="001C0D67">
      <w:pPr>
        <w:pStyle w:val="a3"/>
        <w:numPr>
          <w:ilvl w:val="0"/>
          <w:numId w:val="20"/>
        </w:numPr>
        <w:spacing w:line="460" w:lineRule="exact"/>
        <w:ind w:leftChars="0" w:left="709" w:hanging="425"/>
        <w:jc w:val="both"/>
        <w:rPr>
          <w:rFonts w:ascii="標楷體" w:eastAsia="標楷體" w:hAnsi="標楷體"/>
          <w:sz w:val="28"/>
          <w:szCs w:val="28"/>
        </w:rPr>
      </w:pPr>
      <w:r w:rsidRPr="00797524">
        <w:rPr>
          <w:rFonts w:ascii="標楷體" w:eastAsia="標楷體" w:hAnsi="標楷體" w:hint="eastAsia"/>
          <w:sz w:val="28"/>
          <w:szCs w:val="28"/>
        </w:rPr>
        <w:t>金融機構流動性查核要點。</w:t>
      </w:r>
    </w:p>
    <w:p w:rsidR="008D4429" w:rsidRPr="00797524" w:rsidRDefault="008D4429" w:rsidP="001C0D67">
      <w:pPr>
        <w:pStyle w:val="a3"/>
        <w:numPr>
          <w:ilvl w:val="0"/>
          <w:numId w:val="20"/>
        </w:numPr>
        <w:spacing w:line="460" w:lineRule="exact"/>
        <w:ind w:leftChars="0" w:left="709" w:hanging="425"/>
        <w:jc w:val="both"/>
        <w:rPr>
          <w:rFonts w:ascii="標楷體" w:eastAsia="標楷體" w:hAnsi="標楷體"/>
          <w:sz w:val="28"/>
          <w:szCs w:val="28"/>
        </w:rPr>
      </w:pPr>
      <w:r w:rsidRPr="00797524">
        <w:rPr>
          <w:rFonts w:ascii="標楷體" w:eastAsia="標楷體" w:hAnsi="標楷體" w:hint="eastAsia"/>
          <w:sz w:val="28"/>
          <w:szCs w:val="28"/>
        </w:rPr>
        <w:t>流動準備比率之計算說明與表格。</w:t>
      </w:r>
    </w:p>
    <w:p w:rsidR="008D4429" w:rsidRPr="00797524" w:rsidRDefault="008D4429" w:rsidP="008D4429">
      <w:pPr>
        <w:spacing w:line="460" w:lineRule="exact"/>
        <w:ind w:leftChars="59" w:left="1418" w:hanging="1276"/>
        <w:jc w:val="both"/>
        <w:rPr>
          <w:rFonts w:ascii="標楷體" w:eastAsia="標楷體" w:hAnsi="標楷體"/>
          <w:sz w:val="28"/>
          <w:szCs w:val="28"/>
        </w:rPr>
      </w:pPr>
      <w:r w:rsidRPr="00797524">
        <w:rPr>
          <w:rFonts w:ascii="標楷體" w:eastAsia="標楷體" w:hAnsi="標楷體" w:hint="eastAsia"/>
          <w:sz w:val="28"/>
          <w:szCs w:val="28"/>
        </w:rPr>
        <w:lastRenderedPageBreak/>
        <w:t>2.依規定</w:t>
      </w:r>
      <w:r w:rsidRPr="00797524">
        <w:rPr>
          <w:rFonts w:ascii="標楷體" w:eastAsia="標楷體" w:hAnsi="標楷體" w:cs="Times New Roman" w:hint="eastAsia"/>
          <w:sz w:val="28"/>
          <w:szCs w:val="28"/>
        </w:rPr>
        <w:t>填報</w:t>
      </w:r>
      <w:r w:rsidRPr="00797524">
        <w:rPr>
          <w:rFonts w:ascii="標楷體" w:eastAsia="標楷體" w:hAnsi="標楷體" w:hint="eastAsia"/>
          <w:sz w:val="28"/>
          <w:szCs w:val="28"/>
        </w:rPr>
        <w:t>並落實複核機制。</w:t>
      </w:r>
    </w:p>
    <w:p w:rsidR="008D4429" w:rsidRPr="00797524" w:rsidRDefault="008D4429" w:rsidP="008D4429">
      <w:pPr>
        <w:spacing w:line="460" w:lineRule="exact"/>
        <w:ind w:leftChars="59" w:left="1418" w:hanging="1276"/>
        <w:jc w:val="both"/>
        <w:rPr>
          <w:rFonts w:ascii="標楷體" w:eastAsia="標楷體" w:hAnsi="標楷體"/>
          <w:sz w:val="28"/>
          <w:szCs w:val="28"/>
        </w:rPr>
      </w:pPr>
      <w:r w:rsidRPr="00797524">
        <w:rPr>
          <w:rFonts w:ascii="標楷體" w:eastAsia="標楷體" w:hAnsi="標楷體" w:hint="eastAsia"/>
          <w:sz w:val="28"/>
          <w:szCs w:val="28"/>
        </w:rPr>
        <w:t>3.內部稽核將申報</w:t>
      </w:r>
      <w:r w:rsidRPr="00797524">
        <w:rPr>
          <w:rFonts w:ascii="標楷體" w:eastAsia="標楷體" w:hAnsi="標楷體" w:cs="Times New Roman" w:hint="eastAsia"/>
          <w:sz w:val="28"/>
          <w:szCs w:val="28"/>
        </w:rPr>
        <w:t>資料</w:t>
      </w:r>
      <w:r w:rsidRPr="00797524">
        <w:rPr>
          <w:rFonts w:ascii="標楷體" w:eastAsia="標楷體" w:hAnsi="標楷體" w:hint="eastAsia"/>
          <w:sz w:val="28"/>
          <w:szCs w:val="28"/>
        </w:rPr>
        <w:t>正確性列為查核重點。</w:t>
      </w:r>
    </w:p>
    <w:p w:rsidR="008D4429" w:rsidRPr="002A6E65" w:rsidRDefault="008D4429" w:rsidP="0072515B">
      <w:pPr>
        <w:spacing w:line="3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8"/>
        <w:tblW w:w="0" w:type="auto"/>
        <w:tblInd w:w="142" w:type="dxa"/>
        <w:tblBorders>
          <w:top w:val="thinThickThinSmallGap" w:sz="24" w:space="0" w:color="4F81BD" w:themeColor="accent1"/>
          <w:left w:val="thinThickThinSmallGap" w:sz="24" w:space="0" w:color="4F81BD" w:themeColor="accent1"/>
          <w:bottom w:val="thinThickThinSmallGap" w:sz="24" w:space="0" w:color="4F81BD" w:themeColor="accent1"/>
          <w:right w:val="thinThickThinSmallGap" w:sz="24" w:space="0" w:color="4F81BD" w:themeColor="accent1"/>
          <w:insideH w:val="thinThickThinSmallGap" w:sz="24" w:space="0" w:color="4F81BD" w:themeColor="accent1"/>
          <w:insideV w:val="thinThickThinSmallGap" w:sz="24" w:space="0" w:color="4F81BD" w:themeColor="accent1"/>
        </w:tblBorders>
        <w:tblLook w:val="04A0"/>
      </w:tblPr>
      <w:tblGrid>
        <w:gridCol w:w="8897"/>
      </w:tblGrid>
      <w:tr w:rsidR="000655EB" w:rsidRPr="00797524" w:rsidTr="0072515B">
        <w:trPr>
          <w:trHeight w:val="3020"/>
        </w:trPr>
        <w:tc>
          <w:tcPr>
            <w:tcW w:w="8897" w:type="dxa"/>
          </w:tcPr>
          <w:p w:rsidR="000655EB" w:rsidRPr="00797524" w:rsidRDefault="000655EB" w:rsidP="00D16063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態樣</w:t>
            </w:r>
            <w:r w:rsidR="0072515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7975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：大額關係關聯戶</w:t>
            </w:r>
            <w:r w:rsidR="000E0660" w:rsidRPr="007975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放款</w:t>
            </w:r>
            <w:r w:rsidR="00F2084C" w:rsidRPr="007975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總額</w:t>
            </w:r>
            <w:r w:rsidRPr="007975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申報錯誤：</w:t>
            </w:r>
          </w:p>
          <w:p w:rsidR="000655EB" w:rsidRPr="00797524" w:rsidRDefault="000655EB" w:rsidP="000655EB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0E0660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未將農業金融法準用銀行法所稱同一關係人(如：配偶、</w:t>
            </w:r>
            <w:r w:rsidR="00134E35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="000E0660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親等</w:t>
            </w:r>
            <w:r w:rsidR="00134E35">
              <w:rPr>
                <w:rFonts w:ascii="標楷體" w:eastAsia="標楷體" w:hAnsi="標楷體" w:hint="eastAsia"/>
                <w:b/>
                <w:sz w:val="28"/>
                <w:szCs w:val="28"/>
              </w:rPr>
              <w:t>以內</w:t>
            </w:r>
            <w:r w:rsidR="000E0660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血親</w:t>
            </w:r>
            <w:r w:rsidR="00134E35">
              <w:rPr>
                <w:rFonts w:ascii="標楷體" w:eastAsia="標楷體" w:hAnsi="標楷體" w:hint="eastAsia"/>
                <w:b/>
                <w:sz w:val="28"/>
                <w:szCs w:val="28"/>
              </w:rPr>
              <w:t>，及本人或配偶為</w:t>
            </w:r>
            <w:r w:rsidR="000E0660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負責人之企業)</w:t>
            </w:r>
            <w:r w:rsidR="00CB6276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之放款</w:t>
            </w:r>
            <w:r w:rsidR="000E0660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列入申報。</w:t>
            </w:r>
          </w:p>
          <w:p w:rsidR="000655EB" w:rsidRPr="00797524" w:rsidRDefault="000E0660" w:rsidP="000655EB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2.未將同一擔保品提供予多人借款</w:t>
            </w:r>
            <w:r w:rsidR="008A1F3E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7975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且</w:t>
            </w:r>
            <w:r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各借戶互為借保關係</w:t>
            </w:r>
            <w:r w:rsidR="00CB6276" w:rsidRPr="00797524">
              <w:rPr>
                <w:rFonts w:ascii="標楷體" w:eastAsia="標楷體" w:hAnsi="標楷體" w:hint="eastAsia"/>
                <w:b/>
                <w:sz w:val="28"/>
                <w:szCs w:val="28"/>
              </w:rPr>
              <w:t>之放款列入申報。</w:t>
            </w:r>
          </w:p>
          <w:p w:rsidR="00A15FDB" w:rsidRPr="00797524" w:rsidRDefault="00571E23" w:rsidP="0072515B">
            <w:pPr>
              <w:spacing w:line="460" w:lineRule="exact"/>
              <w:ind w:left="1410" w:hanging="276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975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3.誤將大額個別戶之放款列入申報。</w:t>
            </w:r>
          </w:p>
        </w:tc>
      </w:tr>
    </w:tbl>
    <w:p w:rsidR="003E49C9" w:rsidRPr="00134E35" w:rsidRDefault="003E49C9" w:rsidP="003E49C9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134E35">
        <w:rPr>
          <w:rFonts w:ascii="標楷體" w:eastAsia="標楷體" w:hAnsi="標楷體" w:cs="Times New Roman" w:hint="eastAsia"/>
          <w:b/>
          <w:sz w:val="28"/>
          <w:szCs w:val="28"/>
        </w:rPr>
        <w:t>改善作法：</w:t>
      </w:r>
    </w:p>
    <w:p w:rsidR="003E49C9" w:rsidRPr="00797524" w:rsidRDefault="003E49C9" w:rsidP="003E49C9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1.參考法規：</w:t>
      </w:r>
    </w:p>
    <w:p w:rsidR="000655EB" w:rsidRPr="00797524" w:rsidRDefault="003E49C9" w:rsidP="00134E35">
      <w:pPr>
        <w:pStyle w:val="a3"/>
        <w:numPr>
          <w:ilvl w:val="0"/>
          <w:numId w:val="21"/>
        </w:numPr>
        <w:spacing w:line="460" w:lineRule="exact"/>
        <w:ind w:leftChars="0" w:left="709" w:hanging="425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行政院農業委員會農業金融局107.9.6農金二字第1075074424號函，</w:t>
      </w:r>
      <w:r w:rsidR="008D4429" w:rsidRPr="00797524">
        <w:rPr>
          <w:rFonts w:ascii="標楷體" w:eastAsia="標楷體" w:hAnsi="標楷體" w:cs="Times New Roman" w:hint="eastAsia"/>
          <w:sz w:val="28"/>
          <w:szCs w:val="28"/>
        </w:rPr>
        <w:t>重申</w:t>
      </w:r>
      <w:r w:rsidR="008D4429" w:rsidRPr="00797524">
        <w:rPr>
          <w:rFonts w:ascii="標楷體" w:eastAsia="標楷體" w:hAnsi="標楷體" w:cs="Times New Roman"/>
          <w:sz w:val="28"/>
          <w:szCs w:val="28"/>
        </w:rPr>
        <w:t>105</w:t>
      </w:r>
      <w:r w:rsidR="008D4429" w:rsidRPr="00797524">
        <w:rPr>
          <w:rFonts w:ascii="標楷體" w:eastAsia="標楷體" w:hAnsi="標楷體" w:cs="Times New Roman" w:hint="eastAsia"/>
          <w:sz w:val="28"/>
          <w:szCs w:val="28"/>
        </w:rPr>
        <w:t>.</w:t>
      </w:r>
      <w:r w:rsidR="008D4429" w:rsidRPr="00797524">
        <w:rPr>
          <w:rFonts w:ascii="標楷體" w:eastAsia="標楷體" w:hAnsi="標楷體" w:cs="Times New Roman"/>
          <w:sz w:val="28"/>
          <w:szCs w:val="28"/>
        </w:rPr>
        <w:t>5</w:t>
      </w:r>
      <w:r w:rsidR="008D4429" w:rsidRPr="00797524">
        <w:rPr>
          <w:rFonts w:ascii="標楷體" w:eastAsia="標楷體" w:hAnsi="標楷體" w:cs="Times New Roman" w:hint="eastAsia"/>
          <w:sz w:val="28"/>
          <w:szCs w:val="28"/>
        </w:rPr>
        <w:t>.</w:t>
      </w:r>
      <w:r w:rsidR="008D4429" w:rsidRPr="00797524">
        <w:rPr>
          <w:rFonts w:ascii="標楷體" w:eastAsia="標楷體" w:hAnsi="標楷體" w:cs="Times New Roman"/>
          <w:sz w:val="28"/>
          <w:szCs w:val="28"/>
        </w:rPr>
        <w:t>9農金二字第1055070247號</w:t>
      </w:r>
      <w:r w:rsidR="008D4429" w:rsidRPr="00797524">
        <w:rPr>
          <w:rFonts w:ascii="標楷體" w:eastAsia="標楷體" w:hAnsi="標楷體" w:cs="Times New Roman" w:hint="eastAsia"/>
          <w:sz w:val="28"/>
          <w:szCs w:val="28"/>
        </w:rPr>
        <w:t>函，</w:t>
      </w:r>
      <w:r w:rsidR="008D4429" w:rsidRPr="00797524">
        <w:rPr>
          <w:rFonts w:ascii="標楷體" w:eastAsia="標楷體" w:hAnsi="標楷體" w:cs="Times New Roman"/>
          <w:sz w:val="28"/>
          <w:szCs w:val="28"/>
        </w:rPr>
        <w:t>信用部辦理關係關聯戶放款應依授信原則覈實審核，</w:t>
      </w:r>
      <w:r w:rsidR="008D4429" w:rsidRPr="00797524">
        <w:rPr>
          <w:rFonts w:ascii="標楷體" w:eastAsia="標楷體" w:hAnsi="標楷體" w:cs="Times New Roman" w:hint="eastAsia"/>
          <w:sz w:val="28"/>
          <w:szCs w:val="28"/>
        </w:rPr>
        <w:t>其中</w:t>
      </w:r>
      <w:r w:rsidR="00192CFC" w:rsidRPr="00797524">
        <w:rPr>
          <w:rFonts w:ascii="標楷體" w:eastAsia="標楷體" w:hAnsi="標楷體" w:cs="Times New Roman" w:hint="eastAsia"/>
          <w:sz w:val="28"/>
          <w:szCs w:val="28"/>
        </w:rPr>
        <w:t>所稱關聯戶係指下列情況之一：</w:t>
      </w:r>
    </w:p>
    <w:p w:rsidR="00192CFC" w:rsidRPr="00797524" w:rsidRDefault="008060D2" w:rsidP="00134E35">
      <w:pPr>
        <w:spacing w:line="460" w:lineRule="exact"/>
        <w:ind w:leftChars="236" w:left="566" w:firstLineChars="42" w:firstLine="118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="00192CFC" w:rsidRPr="00797524">
        <w:rPr>
          <w:rFonts w:ascii="標楷體" w:eastAsia="標楷體" w:hAnsi="標楷體" w:cs="Times New Roman" w:hint="eastAsia"/>
          <w:sz w:val="28"/>
          <w:szCs w:val="28"/>
        </w:rPr>
        <w:t>農業金融法準用銀行法所稱同一關係人。</w:t>
      </w:r>
    </w:p>
    <w:p w:rsidR="00192CFC" w:rsidRPr="00797524" w:rsidRDefault="008060D2" w:rsidP="00134E35">
      <w:pPr>
        <w:spacing w:line="460" w:lineRule="exact"/>
        <w:ind w:leftChars="236" w:left="566" w:firstLineChars="42" w:firstLine="118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新細明體" w:eastAsia="新細明體" w:hAnsi="新細明體" w:cs="新細明體" w:hint="eastAsia"/>
          <w:sz w:val="28"/>
          <w:szCs w:val="28"/>
        </w:rPr>
        <w:t>②</w:t>
      </w:r>
      <w:r w:rsidR="00192CFC" w:rsidRPr="00797524">
        <w:rPr>
          <w:rFonts w:ascii="標楷體" w:eastAsia="標楷體" w:hAnsi="標楷體" w:cs="Times New Roman" w:hint="eastAsia"/>
          <w:sz w:val="28"/>
          <w:szCs w:val="28"/>
        </w:rPr>
        <w:t>同一擔保品提供予多人借款。</w:t>
      </w:r>
    </w:p>
    <w:p w:rsidR="00192CFC" w:rsidRPr="00797524" w:rsidRDefault="008060D2" w:rsidP="00134E35">
      <w:pPr>
        <w:spacing w:line="460" w:lineRule="exact"/>
        <w:ind w:leftChars="236" w:left="566" w:firstLineChars="42" w:firstLine="118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新細明體" w:eastAsia="新細明體" w:hAnsi="新細明體" w:cs="新細明體" w:hint="eastAsia"/>
          <w:sz w:val="28"/>
          <w:szCs w:val="28"/>
        </w:rPr>
        <w:t>③</w:t>
      </w:r>
      <w:r w:rsidR="00192CFC" w:rsidRPr="00797524">
        <w:rPr>
          <w:rFonts w:ascii="標楷體" w:eastAsia="標楷體" w:hAnsi="標楷體" w:cs="Times New Roman" w:hint="eastAsia"/>
          <w:sz w:val="28"/>
          <w:szCs w:val="28"/>
        </w:rPr>
        <w:t>放款資金供他人使用。</w:t>
      </w:r>
    </w:p>
    <w:p w:rsidR="00192CFC" w:rsidRPr="00797524" w:rsidRDefault="008060D2" w:rsidP="00134E35">
      <w:pPr>
        <w:spacing w:line="460" w:lineRule="exact"/>
        <w:ind w:leftChars="236" w:left="566" w:firstLineChars="42" w:firstLine="118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新細明體" w:eastAsia="新細明體" w:hAnsi="新細明體" w:cs="新細明體" w:hint="eastAsia"/>
          <w:sz w:val="28"/>
          <w:szCs w:val="28"/>
        </w:rPr>
        <w:t>④</w:t>
      </w:r>
      <w:r w:rsidR="00192CFC" w:rsidRPr="00797524">
        <w:rPr>
          <w:rFonts w:ascii="標楷體" w:eastAsia="標楷體" w:hAnsi="標楷體" w:cs="Times New Roman" w:hint="eastAsia"/>
          <w:sz w:val="28"/>
          <w:szCs w:val="28"/>
        </w:rPr>
        <w:t>貸放後由他人代為繳納本息。</w:t>
      </w:r>
    </w:p>
    <w:p w:rsidR="000655EB" w:rsidRPr="00797524" w:rsidRDefault="008060D2" w:rsidP="00134E35">
      <w:pPr>
        <w:spacing w:line="460" w:lineRule="exact"/>
        <w:ind w:leftChars="236" w:left="566" w:firstLineChars="42" w:firstLine="118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新細明體" w:eastAsia="新細明體" w:hAnsi="新細明體" w:cs="新細明體" w:hint="eastAsia"/>
          <w:sz w:val="28"/>
          <w:szCs w:val="28"/>
        </w:rPr>
        <w:t>⑤</w:t>
      </w:r>
      <w:r w:rsidR="00192CFC" w:rsidRPr="00797524">
        <w:rPr>
          <w:rFonts w:ascii="標楷體" w:eastAsia="標楷體" w:hAnsi="標楷體" w:cs="Times New Roman" w:hint="eastAsia"/>
          <w:sz w:val="28"/>
          <w:szCs w:val="28"/>
        </w:rPr>
        <w:t>各借戶互為借保關係或依檢查經驗判斷有異常關係。</w:t>
      </w:r>
    </w:p>
    <w:p w:rsidR="00192CFC" w:rsidRPr="00797524" w:rsidRDefault="00DA0D7A" w:rsidP="00134E35">
      <w:pPr>
        <w:spacing w:line="460" w:lineRule="exact"/>
        <w:ind w:leftChars="295" w:left="708" w:firstLine="1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同上函說明二、</w:t>
      </w:r>
      <w:r w:rsidR="00D67E26" w:rsidRPr="00797524">
        <w:rPr>
          <w:rFonts w:ascii="標楷體" w:eastAsia="標楷體" w:hAnsi="標楷體" w:cs="Times New Roman" w:hint="eastAsia"/>
          <w:sz w:val="28"/>
          <w:szCs w:val="28"/>
        </w:rPr>
        <w:t>為利控管信用部關係關聯戶經營風險，</w:t>
      </w:r>
      <w:r w:rsidR="009E36BC" w:rsidRPr="00797524">
        <w:rPr>
          <w:rFonts w:ascii="標楷體" w:eastAsia="標楷體" w:hAnsi="標楷體" w:cs="Times New Roman" w:hint="eastAsia"/>
          <w:sz w:val="28"/>
          <w:szCs w:val="28"/>
        </w:rPr>
        <w:t>農業金融局</w:t>
      </w:r>
      <w:r w:rsidR="005E2806" w:rsidRPr="00797524">
        <w:rPr>
          <w:rFonts w:ascii="標楷體" w:eastAsia="標楷體" w:hAnsi="標楷體" w:cs="Times New Roman" w:hint="eastAsia"/>
          <w:sz w:val="28"/>
          <w:szCs w:val="28"/>
        </w:rPr>
        <w:t>網際網路申報系統「A99法定比率延伸資料」表，新增</w:t>
      </w:r>
      <w:r w:rsidR="008D31AD" w:rsidRPr="00797524">
        <w:rPr>
          <w:rFonts w:ascii="標楷體" w:eastAsia="標楷體" w:hAnsi="標楷體" w:cs="Times New Roman" w:hint="eastAsia"/>
          <w:sz w:val="28"/>
          <w:szCs w:val="28"/>
        </w:rPr>
        <w:t>「大額關係關聯戶放款」</w:t>
      </w:r>
      <w:r w:rsidR="00192CFC" w:rsidRPr="00797524">
        <w:rPr>
          <w:rFonts w:ascii="標楷體" w:eastAsia="標楷體" w:hAnsi="標楷體" w:cs="Times New Roman" w:hint="eastAsia"/>
          <w:sz w:val="28"/>
          <w:szCs w:val="28"/>
        </w:rPr>
        <w:t>申報範圍定義如下:</w:t>
      </w:r>
    </w:p>
    <w:p w:rsidR="00192CFC" w:rsidRPr="00797524" w:rsidRDefault="00740489" w:rsidP="00134E35">
      <w:pPr>
        <w:spacing w:line="460" w:lineRule="exact"/>
        <w:ind w:leftChars="295" w:left="708" w:firstLine="1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大額關係關聯戶放款總餘額：同一關係關聯戶歸戶後放款合計總額大於上年度信用部決算淨值25%或5,000萬元孰低(惟最低為900萬元)者，各該關係關聯戶放款總額之合計數。</w:t>
      </w:r>
    </w:p>
    <w:p w:rsidR="008060D2" w:rsidRPr="00797524" w:rsidRDefault="00872226" w:rsidP="00134E35">
      <w:pPr>
        <w:pStyle w:val="a3"/>
        <w:numPr>
          <w:ilvl w:val="0"/>
          <w:numId w:val="21"/>
        </w:numPr>
        <w:spacing w:line="460" w:lineRule="exact"/>
        <w:ind w:leftChars="0" w:left="709" w:hanging="425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銀行法第33條之3同一關係人之範圍包括</w:t>
      </w:r>
      <w:r w:rsidR="008060D2" w:rsidRPr="00797524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AA7E60" w:rsidRPr="00797524" w:rsidRDefault="008060D2" w:rsidP="00134E35">
      <w:pPr>
        <w:spacing w:line="460" w:lineRule="exact"/>
        <w:ind w:leftChars="284" w:left="948" w:hangingChars="95" w:hanging="266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="00872226" w:rsidRPr="00797524">
        <w:rPr>
          <w:rFonts w:ascii="標楷體" w:eastAsia="標楷體" w:hAnsi="標楷體" w:cs="Times New Roman" w:hint="eastAsia"/>
          <w:sz w:val="28"/>
          <w:szCs w:val="28"/>
        </w:rPr>
        <w:t>本人、配偶、二親等以內之血親，及以本人或配偶為負責人之企業。</w:t>
      </w:r>
    </w:p>
    <w:p w:rsidR="004E2536" w:rsidRPr="00797524" w:rsidRDefault="008060D2" w:rsidP="00134E35">
      <w:pPr>
        <w:spacing w:line="460" w:lineRule="exact"/>
        <w:ind w:leftChars="284" w:left="948" w:hangingChars="95" w:hanging="266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新細明體" w:eastAsia="新細明體" w:hAnsi="新細明體" w:cs="新細明體" w:hint="eastAsia"/>
          <w:sz w:val="28"/>
          <w:szCs w:val="28"/>
        </w:rPr>
        <w:lastRenderedPageBreak/>
        <w:t>②</w:t>
      </w:r>
      <w:r w:rsidR="00872226" w:rsidRPr="00797524">
        <w:rPr>
          <w:rFonts w:ascii="標楷體" w:eastAsia="標楷體" w:hAnsi="標楷體" w:cs="Times New Roman" w:hint="eastAsia"/>
          <w:sz w:val="28"/>
          <w:szCs w:val="28"/>
        </w:rPr>
        <w:t>二親等以內血親包括祖（外祖）父母、父母、兄弟姐妹、子女、孫（外孫）子女。</w:t>
      </w:r>
    </w:p>
    <w:p w:rsidR="00872226" w:rsidRPr="00797524" w:rsidRDefault="008060D2" w:rsidP="00134E35">
      <w:pPr>
        <w:spacing w:line="460" w:lineRule="exact"/>
        <w:ind w:leftChars="284" w:left="948" w:hangingChars="95" w:hanging="266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新細明體" w:eastAsia="新細明體" w:hAnsi="新細明體" w:cs="新細明體" w:hint="eastAsia"/>
          <w:sz w:val="28"/>
          <w:szCs w:val="28"/>
        </w:rPr>
        <w:t>③</w:t>
      </w:r>
      <w:r w:rsidR="00872226" w:rsidRPr="00797524">
        <w:rPr>
          <w:rFonts w:ascii="標楷體" w:eastAsia="標楷體" w:hAnsi="標楷體" w:cs="Times New Roman" w:hint="eastAsia"/>
          <w:sz w:val="28"/>
          <w:szCs w:val="28"/>
        </w:rPr>
        <w:t>公司法第8條所稱公司負責人</w:t>
      </w:r>
      <w:r w:rsidR="008A1F3E" w:rsidRPr="00797524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872226" w:rsidRPr="00797524">
        <w:rPr>
          <w:rFonts w:ascii="標楷體" w:eastAsia="標楷體" w:hAnsi="標楷體" w:cs="Times New Roman" w:hint="eastAsia"/>
          <w:sz w:val="28"/>
          <w:szCs w:val="28"/>
        </w:rPr>
        <w:t>實質董事範圍</w:t>
      </w:r>
      <w:r w:rsidR="000D3D62" w:rsidRPr="0079752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8A1F3E" w:rsidRPr="00797524" w:rsidRDefault="008A1F3E" w:rsidP="008A1F3E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2.正確建檔並依規定填報及落實複核機制。</w:t>
      </w:r>
    </w:p>
    <w:p w:rsidR="00872226" w:rsidRPr="00797524" w:rsidRDefault="008A1F3E" w:rsidP="008A1F3E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  <w:r w:rsidRPr="00797524">
        <w:rPr>
          <w:rFonts w:ascii="標楷體" w:eastAsia="標楷體" w:hAnsi="標楷體" w:cs="Times New Roman" w:hint="eastAsia"/>
          <w:sz w:val="28"/>
          <w:szCs w:val="28"/>
        </w:rPr>
        <w:t>3.內部稽核將申報資料正確性列為查核重點。</w:t>
      </w:r>
    </w:p>
    <w:p w:rsidR="008A1F3E" w:rsidRPr="00797524" w:rsidRDefault="008A1F3E" w:rsidP="008A1F3E">
      <w:pPr>
        <w:spacing w:line="460" w:lineRule="exact"/>
        <w:ind w:leftChars="59" w:left="142" w:firstLineChars="1" w:firstLine="3"/>
        <w:jc w:val="both"/>
        <w:rPr>
          <w:rFonts w:ascii="標楷體" w:eastAsia="標楷體" w:hAnsi="標楷體" w:cs="Times New Roman"/>
          <w:sz w:val="28"/>
          <w:szCs w:val="28"/>
        </w:rPr>
      </w:pPr>
    </w:p>
    <w:sectPr w:rsidR="008A1F3E" w:rsidRPr="00797524" w:rsidSect="00276E80">
      <w:footerReference w:type="default" r:id="rId8"/>
      <w:pgSz w:w="11906" w:h="16838"/>
      <w:pgMar w:top="1440" w:right="1418" w:bottom="1440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D8C" w:rsidRDefault="00576D8C" w:rsidP="00A42FFF">
      <w:r>
        <w:separator/>
      </w:r>
    </w:p>
  </w:endnote>
  <w:endnote w:type="continuationSeparator" w:id="0">
    <w:p w:rsidR="00576D8C" w:rsidRDefault="00576D8C" w:rsidP="00A42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8885"/>
      <w:docPartObj>
        <w:docPartGallery w:val="Page Numbers (Bottom of Page)"/>
        <w:docPartUnique/>
      </w:docPartObj>
    </w:sdtPr>
    <w:sdtContent>
      <w:p w:rsidR="00576D8C" w:rsidRDefault="00576D8C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576D8C" w:rsidRDefault="00576D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D8C" w:rsidRDefault="00576D8C" w:rsidP="00A42FFF">
      <w:r>
        <w:separator/>
      </w:r>
    </w:p>
  </w:footnote>
  <w:footnote w:type="continuationSeparator" w:id="0">
    <w:p w:rsidR="00576D8C" w:rsidRDefault="00576D8C" w:rsidP="00A42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7249"/>
    <w:multiLevelType w:val="hybridMultilevel"/>
    <w:tmpl w:val="15B046D0"/>
    <w:lvl w:ilvl="0" w:tplc="FAD8B2DC">
      <w:start w:val="1"/>
      <w:numFmt w:val="decimal"/>
      <w:lvlText w:val="(%1)"/>
      <w:lvlJc w:val="left"/>
      <w:pPr>
        <w:ind w:left="901" w:hanging="480"/>
      </w:pPr>
      <w:rPr>
        <w:rFonts w:hint="eastAsia"/>
      </w:rPr>
    </w:lvl>
    <w:lvl w:ilvl="1" w:tplc="FB188BD6">
      <w:start w:val="1"/>
      <w:numFmt w:val="decimal"/>
      <w:lvlText w:val="%2."/>
      <w:lvlJc w:val="left"/>
      <w:pPr>
        <w:ind w:left="126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1">
    <w:nsid w:val="20E95203"/>
    <w:multiLevelType w:val="hybridMultilevel"/>
    <w:tmpl w:val="AEAEB85A"/>
    <w:lvl w:ilvl="0" w:tplc="F678F6B2">
      <w:start w:val="1"/>
      <w:numFmt w:val="decimal"/>
      <w:lvlText w:val="%1."/>
      <w:lvlJc w:val="left"/>
      <w:pPr>
        <w:ind w:left="148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2">
    <w:nsid w:val="221B205B"/>
    <w:multiLevelType w:val="hybridMultilevel"/>
    <w:tmpl w:val="15B046D0"/>
    <w:lvl w:ilvl="0" w:tplc="FAD8B2DC">
      <w:start w:val="1"/>
      <w:numFmt w:val="decimal"/>
      <w:lvlText w:val="(%1)"/>
      <w:lvlJc w:val="left"/>
      <w:pPr>
        <w:ind w:left="901" w:hanging="480"/>
      </w:pPr>
      <w:rPr>
        <w:rFonts w:hint="eastAsia"/>
      </w:rPr>
    </w:lvl>
    <w:lvl w:ilvl="1" w:tplc="FB188BD6">
      <w:start w:val="1"/>
      <w:numFmt w:val="decimal"/>
      <w:lvlText w:val="%2."/>
      <w:lvlJc w:val="left"/>
      <w:pPr>
        <w:ind w:left="126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3">
    <w:nsid w:val="2307704E"/>
    <w:multiLevelType w:val="hybridMultilevel"/>
    <w:tmpl w:val="06AC326A"/>
    <w:lvl w:ilvl="0" w:tplc="CB4A872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>
    <w:nsid w:val="252C487D"/>
    <w:multiLevelType w:val="hybridMultilevel"/>
    <w:tmpl w:val="61580BD2"/>
    <w:lvl w:ilvl="0" w:tplc="7E64584E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37CC53BE"/>
    <w:multiLevelType w:val="hybridMultilevel"/>
    <w:tmpl w:val="15B046D0"/>
    <w:lvl w:ilvl="0" w:tplc="FAD8B2DC">
      <w:start w:val="1"/>
      <w:numFmt w:val="decimal"/>
      <w:lvlText w:val="(%1)"/>
      <w:lvlJc w:val="left"/>
      <w:pPr>
        <w:ind w:left="901" w:hanging="480"/>
      </w:pPr>
      <w:rPr>
        <w:rFonts w:hint="eastAsia"/>
      </w:rPr>
    </w:lvl>
    <w:lvl w:ilvl="1" w:tplc="FB188BD6">
      <w:start w:val="1"/>
      <w:numFmt w:val="decimal"/>
      <w:lvlText w:val="%2."/>
      <w:lvlJc w:val="left"/>
      <w:pPr>
        <w:ind w:left="126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6">
    <w:nsid w:val="3B5C0AEF"/>
    <w:multiLevelType w:val="hybridMultilevel"/>
    <w:tmpl w:val="1CD0C2C6"/>
    <w:lvl w:ilvl="0" w:tplc="7E64584E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7E64584E">
      <w:start w:val="1"/>
      <w:numFmt w:val="decimal"/>
      <w:lvlText w:val="%2."/>
      <w:lvlJc w:val="left"/>
      <w:pPr>
        <w:ind w:left="209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>
    <w:nsid w:val="410A695B"/>
    <w:multiLevelType w:val="hybridMultilevel"/>
    <w:tmpl w:val="F29E3AF8"/>
    <w:lvl w:ilvl="0" w:tplc="2D0A32BE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8">
    <w:nsid w:val="41906F61"/>
    <w:multiLevelType w:val="hybridMultilevel"/>
    <w:tmpl w:val="D6F4DDBE"/>
    <w:lvl w:ilvl="0" w:tplc="56440AF2">
      <w:start w:val="1"/>
      <w:numFmt w:val="decimal"/>
      <w:lvlText w:val="%1."/>
      <w:lvlJc w:val="left"/>
      <w:pPr>
        <w:ind w:left="160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9">
    <w:nsid w:val="424E7F5C"/>
    <w:multiLevelType w:val="hybridMultilevel"/>
    <w:tmpl w:val="5DB203FC"/>
    <w:lvl w:ilvl="0" w:tplc="9F5E62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44E953AE"/>
    <w:multiLevelType w:val="hybridMultilevel"/>
    <w:tmpl w:val="BCF8191C"/>
    <w:lvl w:ilvl="0" w:tplc="F9F00986">
      <w:start w:val="1"/>
      <w:numFmt w:val="decimal"/>
      <w:lvlText w:val="（%1）"/>
      <w:lvlJc w:val="left"/>
      <w:pPr>
        <w:ind w:left="847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87" w:hanging="480"/>
      </w:pPr>
    </w:lvl>
    <w:lvl w:ilvl="2" w:tplc="0409001B" w:tentative="1">
      <w:start w:val="1"/>
      <w:numFmt w:val="lowerRoman"/>
      <w:lvlText w:val="%3."/>
      <w:lvlJc w:val="right"/>
      <w:pPr>
        <w:ind w:left="1567" w:hanging="480"/>
      </w:pPr>
    </w:lvl>
    <w:lvl w:ilvl="3" w:tplc="0409000F" w:tentative="1">
      <w:start w:val="1"/>
      <w:numFmt w:val="decimal"/>
      <w:lvlText w:val="%4."/>
      <w:lvlJc w:val="left"/>
      <w:pPr>
        <w:ind w:left="2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7" w:hanging="480"/>
      </w:pPr>
    </w:lvl>
    <w:lvl w:ilvl="5" w:tplc="0409001B" w:tentative="1">
      <w:start w:val="1"/>
      <w:numFmt w:val="lowerRoman"/>
      <w:lvlText w:val="%6."/>
      <w:lvlJc w:val="right"/>
      <w:pPr>
        <w:ind w:left="3007" w:hanging="480"/>
      </w:pPr>
    </w:lvl>
    <w:lvl w:ilvl="6" w:tplc="0409000F" w:tentative="1">
      <w:start w:val="1"/>
      <w:numFmt w:val="decimal"/>
      <w:lvlText w:val="%7."/>
      <w:lvlJc w:val="left"/>
      <w:pPr>
        <w:ind w:left="3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7" w:hanging="480"/>
      </w:pPr>
    </w:lvl>
    <w:lvl w:ilvl="8" w:tplc="0409001B" w:tentative="1">
      <w:start w:val="1"/>
      <w:numFmt w:val="lowerRoman"/>
      <w:lvlText w:val="%9."/>
      <w:lvlJc w:val="right"/>
      <w:pPr>
        <w:ind w:left="4447" w:hanging="480"/>
      </w:pPr>
    </w:lvl>
  </w:abstractNum>
  <w:abstractNum w:abstractNumId="11">
    <w:nsid w:val="45727A20"/>
    <w:multiLevelType w:val="hybridMultilevel"/>
    <w:tmpl w:val="2722C400"/>
    <w:lvl w:ilvl="0" w:tplc="C6DA45C6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4CE00125"/>
    <w:multiLevelType w:val="hybridMultilevel"/>
    <w:tmpl w:val="15B046D0"/>
    <w:lvl w:ilvl="0" w:tplc="FAD8B2DC">
      <w:start w:val="1"/>
      <w:numFmt w:val="decimal"/>
      <w:lvlText w:val="(%1)"/>
      <w:lvlJc w:val="left"/>
      <w:pPr>
        <w:ind w:left="901" w:hanging="480"/>
      </w:pPr>
      <w:rPr>
        <w:rFonts w:hint="eastAsia"/>
      </w:rPr>
    </w:lvl>
    <w:lvl w:ilvl="1" w:tplc="FB188BD6">
      <w:start w:val="1"/>
      <w:numFmt w:val="decimal"/>
      <w:lvlText w:val="%2."/>
      <w:lvlJc w:val="left"/>
      <w:pPr>
        <w:ind w:left="126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13">
    <w:nsid w:val="514E7360"/>
    <w:multiLevelType w:val="hybridMultilevel"/>
    <w:tmpl w:val="4EB84BE2"/>
    <w:lvl w:ilvl="0" w:tplc="DF929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5F56D38"/>
    <w:multiLevelType w:val="hybridMultilevel"/>
    <w:tmpl w:val="DBFE4AB6"/>
    <w:lvl w:ilvl="0" w:tplc="2C2E3828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15">
    <w:nsid w:val="5B411770"/>
    <w:multiLevelType w:val="hybridMultilevel"/>
    <w:tmpl w:val="61A67522"/>
    <w:lvl w:ilvl="0" w:tplc="6F34B1F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>
    <w:nsid w:val="5CD75B36"/>
    <w:multiLevelType w:val="hybridMultilevel"/>
    <w:tmpl w:val="15B046D0"/>
    <w:lvl w:ilvl="0" w:tplc="FAD8B2DC">
      <w:start w:val="1"/>
      <w:numFmt w:val="decimal"/>
      <w:lvlText w:val="(%1)"/>
      <w:lvlJc w:val="left"/>
      <w:pPr>
        <w:ind w:left="901" w:hanging="480"/>
      </w:pPr>
      <w:rPr>
        <w:rFonts w:hint="eastAsia"/>
      </w:rPr>
    </w:lvl>
    <w:lvl w:ilvl="1" w:tplc="FB188BD6">
      <w:start w:val="1"/>
      <w:numFmt w:val="decimal"/>
      <w:lvlText w:val="%2."/>
      <w:lvlJc w:val="left"/>
      <w:pPr>
        <w:ind w:left="126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17">
    <w:nsid w:val="5E273BA0"/>
    <w:multiLevelType w:val="hybridMultilevel"/>
    <w:tmpl w:val="1B90E0FE"/>
    <w:lvl w:ilvl="0" w:tplc="2524634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6819501C"/>
    <w:multiLevelType w:val="hybridMultilevel"/>
    <w:tmpl w:val="5DDA0912"/>
    <w:lvl w:ilvl="0" w:tplc="060C7CA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>
    <w:nsid w:val="74664479"/>
    <w:multiLevelType w:val="hybridMultilevel"/>
    <w:tmpl w:val="8176FB94"/>
    <w:lvl w:ilvl="0" w:tplc="6B1ED5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AA85771"/>
    <w:multiLevelType w:val="hybridMultilevel"/>
    <w:tmpl w:val="4014963C"/>
    <w:lvl w:ilvl="0" w:tplc="4CBAFE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9"/>
  </w:num>
  <w:num w:numId="5">
    <w:abstractNumId w:val="17"/>
  </w:num>
  <w:num w:numId="6">
    <w:abstractNumId w:val="15"/>
  </w:num>
  <w:num w:numId="7">
    <w:abstractNumId w:val="14"/>
  </w:num>
  <w:num w:numId="8">
    <w:abstractNumId w:val="13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1"/>
  </w:num>
  <w:num w:numId="14">
    <w:abstractNumId w:val="4"/>
  </w:num>
  <w:num w:numId="15">
    <w:abstractNumId w:val="20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  <w:num w:numId="20">
    <w:abstractNumId w:val="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 style="mso-position-horizontal:center;mso-height-percent:200;mso-width-relative:margin;mso-height-relative:margin" fillcolor="white" strokecolor="#0070c0">
      <v:fill color="white"/>
      <v:stroke color="#0070c0" weight="6pt" linestyle="thickBetweenThin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EB"/>
    <w:rsid w:val="00003AD5"/>
    <w:rsid w:val="00004220"/>
    <w:rsid w:val="00005FCF"/>
    <w:rsid w:val="00011DA0"/>
    <w:rsid w:val="00020029"/>
    <w:rsid w:val="00022A6F"/>
    <w:rsid w:val="000341CF"/>
    <w:rsid w:val="0003582C"/>
    <w:rsid w:val="000375B2"/>
    <w:rsid w:val="00043985"/>
    <w:rsid w:val="00056A0F"/>
    <w:rsid w:val="00062F65"/>
    <w:rsid w:val="000655EB"/>
    <w:rsid w:val="00070859"/>
    <w:rsid w:val="000825B8"/>
    <w:rsid w:val="00090C88"/>
    <w:rsid w:val="000A3208"/>
    <w:rsid w:val="000B7245"/>
    <w:rsid w:val="000D3D62"/>
    <w:rsid w:val="000E0660"/>
    <w:rsid w:val="000E4016"/>
    <w:rsid w:val="000E483D"/>
    <w:rsid w:val="000F1001"/>
    <w:rsid w:val="000F3058"/>
    <w:rsid w:val="00104718"/>
    <w:rsid w:val="0011694C"/>
    <w:rsid w:val="00116C48"/>
    <w:rsid w:val="0013053A"/>
    <w:rsid w:val="001331AE"/>
    <w:rsid w:val="00134E35"/>
    <w:rsid w:val="0014405D"/>
    <w:rsid w:val="00151F80"/>
    <w:rsid w:val="0015502F"/>
    <w:rsid w:val="00156785"/>
    <w:rsid w:val="00170624"/>
    <w:rsid w:val="00182ED2"/>
    <w:rsid w:val="00184845"/>
    <w:rsid w:val="001854B4"/>
    <w:rsid w:val="00185EF7"/>
    <w:rsid w:val="00190741"/>
    <w:rsid w:val="00191882"/>
    <w:rsid w:val="00192CFC"/>
    <w:rsid w:val="00196166"/>
    <w:rsid w:val="00197D0D"/>
    <w:rsid w:val="001B214A"/>
    <w:rsid w:val="001B398E"/>
    <w:rsid w:val="001C08D9"/>
    <w:rsid w:val="001C0D45"/>
    <w:rsid w:val="001C0D67"/>
    <w:rsid w:val="001C4048"/>
    <w:rsid w:val="001F146C"/>
    <w:rsid w:val="001F23E3"/>
    <w:rsid w:val="001F27DA"/>
    <w:rsid w:val="001F7FF5"/>
    <w:rsid w:val="00201517"/>
    <w:rsid w:val="00201E9E"/>
    <w:rsid w:val="00204357"/>
    <w:rsid w:val="002049F0"/>
    <w:rsid w:val="0021592E"/>
    <w:rsid w:val="00217B7D"/>
    <w:rsid w:val="0022063C"/>
    <w:rsid w:val="00226259"/>
    <w:rsid w:val="00231107"/>
    <w:rsid w:val="002738AB"/>
    <w:rsid w:val="00274874"/>
    <w:rsid w:val="00274E06"/>
    <w:rsid w:val="002758F0"/>
    <w:rsid w:val="00276E80"/>
    <w:rsid w:val="002A11EA"/>
    <w:rsid w:val="002A5950"/>
    <w:rsid w:val="002A5B85"/>
    <w:rsid w:val="002A6E65"/>
    <w:rsid w:val="002B2D99"/>
    <w:rsid w:val="002B7110"/>
    <w:rsid w:val="002D2343"/>
    <w:rsid w:val="002F1160"/>
    <w:rsid w:val="002F1F72"/>
    <w:rsid w:val="003010E5"/>
    <w:rsid w:val="00302A09"/>
    <w:rsid w:val="00305064"/>
    <w:rsid w:val="0031570B"/>
    <w:rsid w:val="00315CFC"/>
    <w:rsid w:val="003177E3"/>
    <w:rsid w:val="00320563"/>
    <w:rsid w:val="00331719"/>
    <w:rsid w:val="0033295A"/>
    <w:rsid w:val="00340F09"/>
    <w:rsid w:val="00370864"/>
    <w:rsid w:val="003708FB"/>
    <w:rsid w:val="00375A90"/>
    <w:rsid w:val="003806EC"/>
    <w:rsid w:val="00387865"/>
    <w:rsid w:val="003936E2"/>
    <w:rsid w:val="003A651B"/>
    <w:rsid w:val="003A6E0E"/>
    <w:rsid w:val="003C256A"/>
    <w:rsid w:val="003C6D47"/>
    <w:rsid w:val="003D66DA"/>
    <w:rsid w:val="003D7406"/>
    <w:rsid w:val="003E0093"/>
    <w:rsid w:val="003E1ECA"/>
    <w:rsid w:val="003E49C9"/>
    <w:rsid w:val="003E4D65"/>
    <w:rsid w:val="003E7ED3"/>
    <w:rsid w:val="003F0A11"/>
    <w:rsid w:val="003F4A1E"/>
    <w:rsid w:val="003F4A29"/>
    <w:rsid w:val="0040089B"/>
    <w:rsid w:val="00407653"/>
    <w:rsid w:val="004117E8"/>
    <w:rsid w:val="0042387E"/>
    <w:rsid w:val="00423E8A"/>
    <w:rsid w:val="00431CC5"/>
    <w:rsid w:val="0043633B"/>
    <w:rsid w:val="00443757"/>
    <w:rsid w:val="0044639D"/>
    <w:rsid w:val="0045186F"/>
    <w:rsid w:val="0046084B"/>
    <w:rsid w:val="00476D42"/>
    <w:rsid w:val="00483217"/>
    <w:rsid w:val="00486559"/>
    <w:rsid w:val="00497376"/>
    <w:rsid w:val="004A2FA1"/>
    <w:rsid w:val="004C340B"/>
    <w:rsid w:val="004D18A1"/>
    <w:rsid w:val="004D290F"/>
    <w:rsid w:val="004D3640"/>
    <w:rsid w:val="004E2536"/>
    <w:rsid w:val="004E67EB"/>
    <w:rsid w:val="004F45FA"/>
    <w:rsid w:val="00506C57"/>
    <w:rsid w:val="00516F31"/>
    <w:rsid w:val="005212D3"/>
    <w:rsid w:val="00540257"/>
    <w:rsid w:val="00541A8C"/>
    <w:rsid w:val="00552194"/>
    <w:rsid w:val="00555E33"/>
    <w:rsid w:val="00571E23"/>
    <w:rsid w:val="00576D8C"/>
    <w:rsid w:val="005801D4"/>
    <w:rsid w:val="00585F2E"/>
    <w:rsid w:val="0059136F"/>
    <w:rsid w:val="00595569"/>
    <w:rsid w:val="005A4389"/>
    <w:rsid w:val="005A446C"/>
    <w:rsid w:val="005B7B74"/>
    <w:rsid w:val="005C2ED4"/>
    <w:rsid w:val="005C3CCB"/>
    <w:rsid w:val="005C4EA5"/>
    <w:rsid w:val="005E2806"/>
    <w:rsid w:val="005F1BFC"/>
    <w:rsid w:val="005F2A6F"/>
    <w:rsid w:val="006013FE"/>
    <w:rsid w:val="00603F53"/>
    <w:rsid w:val="006041CF"/>
    <w:rsid w:val="00625931"/>
    <w:rsid w:val="00640187"/>
    <w:rsid w:val="00663D94"/>
    <w:rsid w:val="00670FBC"/>
    <w:rsid w:val="00674830"/>
    <w:rsid w:val="00676481"/>
    <w:rsid w:val="006873EA"/>
    <w:rsid w:val="00690D5D"/>
    <w:rsid w:val="006A0B0A"/>
    <w:rsid w:val="006B20B9"/>
    <w:rsid w:val="006B42C2"/>
    <w:rsid w:val="006D615D"/>
    <w:rsid w:val="006E7441"/>
    <w:rsid w:val="006F1C27"/>
    <w:rsid w:val="006F3AE2"/>
    <w:rsid w:val="0070154B"/>
    <w:rsid w:val="00702F0A"/>
    <w:rsid w:val="00706EEC"/>
    <w:rsid w:val="00711738"/>
    <w:rsid w:val="0071185E"/>
    <w:rsid w:val="007118DD"/>
    <w:rsid w:val="00721FA4"/>
    <w:rsid w:val="0072515B"/>
    <w:rsid w:val="00726C64"/>
    <w:rsid w:val="00726FA3"/>
    <w:rsid w:val="007342CD"/>
    <w:rsid w:val="007352E4"/>
    <w:rsid w:val="00740489"/>
    <w:rsid w:val="00743C5F"/>
    <w:rsid w:val="00746F61"/>
    <w:rsid w:val="00752E13"/>
    <w:rsid w:val="007701F2"/>
    <w:rsid w:val="00770C71"/>
    <w:rsid w:val="007735AB"/>
    <w:rsid w:val="00785B9F"/>
    <w:rsid w:val="00787153"/>
    <w:rsid w:val="00797524"/>
    <w:rsid w:val="007A5622"/>
    <w:rsid w:val="007B32C9"/>
    <w:rsid w:val="007B4BD1"/>
    <w:rsid w:val="007B58D4"/>
    <w:rsid w:val="007D5ACA"/>
    <w:rsid w:val="007F08D1"/>
    <w:rsid w:val="007F1BBD"/>
    <w:rsid w:val="008014F3"/>
    <w:rsid w:val="008060D2"/>
    <w:rsid w:val="008100B0"/>
    <w:rsid w:val="00811E16"/>
    <w:rsid w:val="008166F3"/>
    <w:rsid w:val="008228CB"/>
    <w:rsid w:val="008275F7"/>
    <w:rsid w:val="0083151E"/>
    <w:rsid w:val="008357D1"/>
    <w:rsid w:val="008361CF"/>
    <w:rsid w:val="00837650"/>
    <w:rsid w:val="00840B8B"/>
    <w:rsid w:val="00846BD2"/>
    <w:rsid w:val="008517B0"/>
    <w:rsid w:val="008571D9"/>
    <w:rsid w:val="00865634"/>
    <w:rsid w:val="00872226"/>
    <w:rsid w:val="008725A6"/>
    <w:rsid w:val="008741CB"/>
    <w:rsid w:val="00882EF2"/>
    <w:rsid w:val="00885987"/>
    <w:rsid w:val="008911F8"/>
    <w:rsid w:val="008A1F3E"/>
    <w:rsid w:val="008B1467"/>
    <w:rsid w:val="008B239E"/>
    <w:rsid w:val="008B713F"/>
    <w:rsid w:val="008C1577"/>
    <w:rsid w:val="008D0AF9"/>
    <w:rsid w:val="008D31AD"/>
    <w:rsid w:val="008D4429"/>
    <w:rsid w:val="008D7E82"/>
    <w:rsid w:val="008E7DE8"/>
    <w:rsid w:val="008F28CA"/>
    <w:rsid w:val="008F7330"/>
    <w:rsid w:val="00904829"/>
    <w:rsid w:val="00916238"/>
    <w:rsid w:val="009275C2"/>
    <w:rsid w:val="00933029"/>
    <w:rsid w:val="00933F8B"/>
    <w:rsid w:val="009366A0"/>
    <w:rsid w:val="00937D0B"/>
    <w:rsid w:val="00940C2C"/>
    <w:rsid w:val="00943EAA"/>
    <w:rsid w:val="00952EF0"/>
    <w:rsid w:val="00956E25"/>
    <w:rsid w:val="009614F8"/>
    <w:rsid w:val="009622D4"/>
    <w:rsid w:val="0096332E"/>
    <w:rsid w:val="009771FF"/>
    <w:rsid w:val="0098506E"/>
    <w:rsid w:val="009A2949"/>
    <w:rsid w:val="009B59DC"/>
    <w:rsid w:val="009B7E12"/>
    <w:rsid w:val="009E36BC"/>
    <w:rsid w:val="00A07E46"/>
    <w:rsid w:val="00A1019D"/>
    <w:rsid w:val="00A15FDB"/>
    <w:rsid w:val="00A207EA"/>
    <w:rsid w:val="00A2632A"/>
    <w:rsid w:val="00A351A4"/>
    <w:rsid w:val="00A4082E"/>
    <w:rsid w:val="00A41434"/>
    <w:rsid w:val="00A42FFF"/>
    <w:rsid w:val="00A57694"/>
    <w:rsid w:val="00A655EC"/>
    <w:rsid w:val="00A668CD"/>
    <w:rsid w:val="00A759B1"/>
    <w:rsid w:val="00A83B20"/>
    <w:rsid w:val="00A852E6"/>
    <w:rsid w:val="00A87355"/>
    <w:rsid w:val="00A9418D"/>
    <w:rsid w:val="00AA0582"/>
    <w:rsid w:val="00AA4698"/>
    <w:rsid w:val="00AA7E60"/>
    <w:rsid w:val="00AC5C74"/>
    <w:rsid w:val="00AC653B"/>
    <w:rsid w:val="00AD0F8F"/>
    <w:rsid w:val="00AD181A"/>
    <w:rsid w:val="00AD2AB9"/>
    <w:rsid w:val="00AE5701"/>
    <w:rsid w:val="00AE6686"/>
    <w:rsid w:val="00AF2973"/>
    <w:rsid w:val="00B07DE9"/>
    <w:rsid w:val="00B1419B"/>
    <w:rsid w:val="00B151FB"/>
    <w:rsid w:val="00B1771C"/>
    <w:rsid w:val="00B24D0A"/>
    <w:rsid w:val="00B256F2"/>
    <w:rsid w:val="00B272DE"/>
    <w:rsid w:val="00B3116A"/>
    <w:rsid w:val="00B341B9"/>
    <w:rsid w:val="00B36A56"/>
    <w:rsid w:val="00B456C6"/>
    <w:rsid w:val="00B46035"/>
    <w:rsid w:val="00B52415"/>
    <w:rsid w:val="00B61C83"/>
    <w:rsid w:val="00B66CFA"/>
    <w:rsid w:val="00B70A1F"/>
    <w:rsid w:val="00B77BBC"/>
    <w:rsid w:val="00B81C91"/>
    <w:rsid w:val="00B825DB"/>
    <w:rsid w:val="00B82C6C"/>
    <w:rsid w:val="00B83C5D"/>
    <w:rsid w:val="00B8680D"/>
    <w:rsid w:val="00B91699"/>
    <w:rsid w:val="00BA12C5"/>
    <w:rsid w:val="00BA2C7D"/>
    <w:rsid w:val="00BA45F7"/>
    <w:rsid w:val="00BA6A2A"/>
    <w:rsid w:val="00BB4E35"/>
    <w:rsid w:val="00BC4476"/>
    <w:rsid w:val="00BD1B6C"/>
    <w:rsid w:val="00BD60ED"/>
    <w:rsid w:val="00BE4E19"/>
    <w:rsid w:val="00BE7BE6"/>
    <w:rsid w:val="00BF30A9"/>
    <w:rsid w:val="00BF428E"/>
    <w:rsid w:val="00BF7A68"/>
    <w:rsid w:val="00C03ECB"/>
    <w:rsid w:val="00C05C9F"/>
    <w:rsid w:val="00C13B18"/>
    <w:rsid w:val="00C223B6"/>
    <w:rsid w:val="00C24610"/>
    <w:rsid w:val="00C27FE0"/>
    <w:rsid w:val="00C50451"/>
    <w:rsid w:val="00C638D0"/>
    <w:rsid w:val="00C71F97"/>
    <w:rsid w:val="00C803CE"/>
    <w:rsid w:val="00C96072"/>
    <w:rsid w:val="00CB6276"/>
    <w:rsid w:val="00CC2DC3"/>
    <w:rsid w:val="00CD7949"/>
    <w:rsid w:val="00CE0EE8"/>
    <w:rsid w:val="00D1073F"/>
    <w:rsid w:val="00D11CF5"/>
    <w:rsid w:val="00D16063"/>
    <w:rsid w:val="00D20877"/>
    <w:rsid w:val="00D31BA8"/>
    <w:rsid w:val="00D363B1"/>
    <w:rsid w:val="00D46C99"/>
    <w:rsid w:val="00D55EFD"/>
    <w:rsid w:val="00D64C61"/>
    <w:rsid w:val="00D67677"/>
    <w:rsid w:val="00D67E26"/>
    <w:rsid w:val="00D75CED"/>
    <w:rsid w:val="00D858B0"/>
    <w:rsid w:val="00D972FB"/>
    <w:rsid w:val="00DA0D7A"/>
    <w:rsid w:val="00DA6115"/>
    <w:rsid w:val="00DB0876"/>
    <w:rsid w:val="00DC13BB"/>
    <w:rsid w:val="00DD23AA"/>
    <w:rsid w:val="00DD2822"/>
    <w:rsid w:val="00DD58B9"/>
    <w:rsid w:val="00DE0D94"/>
    <w:rsid w:val="00DE1822"/>
    <w:rsid w:val="00DE497B"/>
    <w:rsid w:val="00DE59D9"/>
    <w:rsid w:val="00DF77B6"/>
    <w:rsid w:val="00E04711"/>
    <w:rsid w:val="00E165AF"/>
    <w:rsid w:val="00E24824"/>
    <w:rsid w:val="00E26D23"/>
    <w:rsid w:val="00E455BF"/>
    <w:rsid w:val="00E45FBB"/>
    <w:rsid w:val="00E46306"/>
    <w:rsid w:val="00E545BD"/>
    <w:rsid w:val="00E619DC"/>
    <w:rsid w:val="00E620AC"/>
    <w:rsid w:val="00E67EDB"/>
    <w:rsid w:val="00E84FC6"/>
    <w:rsid w:val="00E920BF"/>
    <w:rsid w:val="00EA261D"/>
    <w:rsid w:val="00EA3B43"/>
    <w:rsid w:val="00EB16FF"/>
    <w:rsid w:val="00ED4A59"/>
    <w:rsid w:val="00ED6091"/>
    <w:rsid w:val="00EE4A65"/>
    <w:rsid w:val="00EE531A"/>
    <w:rsid w:val="00EE6A92"/>
    <w:rsid w:val="00F02F5E"/>
    <w:rsid w:val="00F07392"/>
    <w:rsid w:val="00F15E89"/>
    <w:rsid w:val="00F16DEF"/>
    <w:rsid w:val="00F2084C"/>
    <w:rsid w:val="00F30010"/>
    <w:rsid w:val="00F32C47"/>
    <w:rsid w:val="00F33DBC"/>
    <w:rsid w:val="00F415C2"/>
    <w:rsid w:val="00F6254A"/>
    <w:rsid w:val="00F63CF5"/>
    <w:rsid w:val="00F772BC"/>
    <w:rsid w:val="00F77C00"/>
    <w:rsid w:val="00F80170"/>
    <w:rsid w:val="00FB4DF7"/>
    <w:rsid w:val="00FC0492"/>
    <w:rsid w:val="00FD6F29"/>
    <w:rsid w:val="00FF0B20"/>
    <w:rsid w:val="00FF178F"/>
    <w:rsid w:val="00FF439B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style="mso-position-horizontal:center;mso-height-percent:200;mso-width-relative:margin;mso-height-relative:margin" fillcolor="white" strokecolor="#0070c0">
      <v:fill color="white"/>
      <v:stroke color="#0070c0" weight="6pt" linestyle="thickBetweenThin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FA3"/>
    <w:pPr>
      <w:ind w:leftChars="200" w:left="480"/>
    </w:pPr>
  </w:style>
  <w:style w:type="paragraph" w:styleId="a4">
    <w:name w:val="header"/>
    <w:basedOn w:val="a"/>
    <w:link w:val="a5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42F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F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FFF"/>
    <w:rPr>
      <w:sz w:val="20"/>
      <w:szCs w:val="20"/>
    </w:rPr>
  </w:style>
  <w:style w:type="table" w:styleId="a8">
    <w:name w:val="Table Grid"/>
    <w:basedOn w:val="a1"/>
    <w:uiPriority w:val="59"/>
    <w:rsid w:val="00476D42"/>
    <w:pPr>
      <w:ind w:left="567" w:hanging="567"/>
      <w:jc w:val="center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1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1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74D6C-2E76-41D9-9035-E43CFB4F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427</Words>
  <Characters>2439</Characters>
  <Application>Microsoft Office Word</Application>
  <DocSecurity>0</DocSecurity>
  <Lines>20</Lines>
  <Paragraphs>5</Paragraphs>
  <ScaleCrop>false</ScaleCrop>
  <Company>CDIC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c137</dc:creator>
  <cp:lastModifiedBy>c279</cp:lastModifiedBy>
  <cp:revision>12</cp:revision>
  <cp:lastPrinted>2021-08-05T02:38:00Z</cp:lastPrinted>
  <dcterms:created xsi:type="dcterms:W3CDTF">2021-07-22T07:08:00Z</dcterms:created>
  <dcterms:modified xsi:type="dcterms:W3CDTF">2021-08-05T02:50:00Z</dcterms:modified>
</cp:coreProperties>
</file>