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D" w:rsidRDefault="004E67EB" w:rsidP="00DF287D">
      <w:pPr>
        <w:spacing w:line="460" w:lineRule="exact"/>
        <w:ind w:left="1410" w:hanging="284"/>
        <w:jc w:val="center"/>
        <w:rPr>
          <w:rFonts w:ascii="標楷體" w:eastAsia="標楷體" w:hAnsi="標楷體"/>
          <w:b/>
          <w:sz w:val="28"/>
          <w:szCs w:val="28"/>
        </w:rPr>
      </w:pPr>
      <w:r w:rsidRPr="00AC5C74">
        <w:rPr>
          <w:rFonts w:ascii="標楷體" w:eastAsia="標楷體" w:hAnsi="標楷體"/>
          <w:b/>
          <w:sz w:val="28"/>
          <w:szCs w:val="28"/>
        </w:rPr>
        <w:t>風險指標資料</w:t>
      </w:r>
      <w:r w:rsidRPr="00AC5C74">
        <w:rPr>
          <w:rFonts w:ascii="標楷體" w:eastAsia="標楷體" w:hAnsi="標楷體" w:hint="eastAsia"/>
          <w:b/>
          <w:sz w:val="28"/>
          <w:szCs w:val="28"/>
        </w:rPr>
        <w:t>查核缺失態樣</w:t>
      </w:r>
      <w:r w:rsidR="00DF287D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Start"/>
      <w:r w:rsidR="00DF287D" w:rsidRPr="00AC5C74">
        <w:rPr>
          <w:rFonts w:ascii="標楷體" w:eastAsia="標楷體" w:hAnsi="標楷體" w:hint="eastAsia"/>
          <w:b/>
          <w:sz w:val="28"/>
          <w:szCs w:val="28"/>
        </w:rPr>
        <w:t>103</w:t>
      </w:r>
      <w:proofErr w:type="gramEnd"/>
      <w:r w:rsidR="00DF287D" w:rsidRPr="00AC5C74">
        <w:rPr>
          <w:rFonts w:ascii="標楷體" w:eastAsia="標楷體" w:hAnsi="標楷體" w:hint="eastAsia"/>
          <w:b/>
          <w:sz w:val="28"/>
          <w:szCs w:val="28"/>
        </w:rPr>
        <w:t>年</w:t>
      </w:r>
      <w:r w:rsidR="00DF287D">
        <w:rPr>
          <w:rFonts w:ascii="標楷體" w:eastAsia="標楷體" w:hAnsi="標楷體" w:hint="eastAsia"/>
          <w:b/>
          <w:sz w:val="28"/>
          <w:szCs w:val="28"/>
        </w:rPr>
        <w:t>度）</w:t>
      </w:r>
    </w:p>
    <w:p w:rsidR="004E67EB" w:rsidRPr="00AC5C74" w:rsidRDefault="00DF287D" w:rsidP="00DF287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金融機構類別：信用合作社</w:t>
      </w: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76D42" w:rsidRPr="00810BD0" w:rsidTr="00476D42">
        <w:trPr>
          <w:trHeight w:val="2214"/>
        </w:trPr>
        <w:tc>
          <w:tcPr>
            <w:tcW w:w="8372" w:type="dxa"/>
          </w:tcPr>
          <w:p w:rsidR="008D0AF9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5C74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185EF7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D0AF9" w:rsidRPr="00185EF7">
              <w:rPr>
                <w:rFonts w:ascii="標楷體" w:eastAsia="標楷體" w:hAnsi="標楷體" w:hint="eastAsia"/>
                <w:b/>
                <w:sz w:val="28"/>
                <w:szCs w:val="28"/>
              </w:rPr>
              <w:t>應予評估資產申報及分類錯誤</w:t>
            </w:r>
            <w:r w:rsid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8D0AF9" w:rsidRPr="008D0AF9" w:rsidRDefault="008D0AF9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1.借戶擔保品遭第三人強制執行、票據遭受拒絕往來戶處分或前置協商等債信不良情形者，及其應提列之應收利息，未</w:t>
            </w:r>
            <w:r w:rsidR="006D1C41">
              <w:rPr>
                <w:rFonts w:ascii="標楷體" w:eastAsia="標楷體" w:hAnsi="標楷體" w:hint="eastAsia"/>
                <w:b/>
                <w:sz w:val="28"/>
                <w:szCs w:val="28"/>
              </w:rPr>
              <w:t>列</w:t>
            </w:r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為應予注意（Ⅱ類）。</w:t>
            </w:r>
          </w:p>
          <w:p w:rsidR="00476D42" w:rsidRPr="00682137" w:rsidRDefault="008D0AF9" w:rsidP="00DF287D">
            <w:pPr>
              <w:spacing w:line="460" w:lineRule="exact"/>
              <w:ind w:left="1410" w:hanging="276"/>
              <w:jc w:val="both"/>
              <w:rPr>
                <w:rFonts w:hAnsi="標楷體"/>
                <w:b/>
                <w:szCs w:val="28"/>
              </w:rPr>
            </w:pPr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2.墊付逾期催收戶之訴訟費用，其中墊付已轉銷呆帳之逾期戶之訴訟相關費用</w:t>
            </w:r>
            <w:r w:rsidR="00FD4EA2" w:rsidRPr="00185EF7">
              <w:rPr>
                <w:rFonts w:ascii="標楷體" w:eastAsia="標楷體" w:hAnsi="標楷體" w:hint="eastAsia"/>
                <w:b/>
                <w:sz w:val="28"/>
                <w:szCs w:val="28"/>
              </w:rPr>
              <w:t>分類錯誤</w:t>
            </w:r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:rsidR="004E67EB" w:rsidRPr="00273434" w:rsidRDefault="004E67EB" w:rsidP="00431CC5">
      <w:pPr>
        <w:spacing w:line="460" w:lineRule="exact"/>
        <w:ind w:left="1276" w:hanging="1276"/>
        <w:rPr>
          <w:rFonts w:ascii="標楷體" w:eastAsia="標楷體" w:hAnsi="標楷體" w:cs="Times New Roman"/>
          <w:b/>
          <w:color w:val="FF0000"/>
          <w:spacing w:val="-14"/>
          <w:sz w:val="28"/>
          <w:szCs w:val="28"/>
        </w:rPr>
      </w:pPr>
      <w:r w:rsidRPr="00273434">
        <w:rPr>
          <w:rFonts w:ascii="標楷體" w:eastAsia="標楷體" w:hAnsi="標楷體" w:cs="Times New Roman" w:hint="eastAsia"/>
          <w:b/>
          <w:color w:val="FF0000"/>
          <w:spacing w:val="-14"/>
          <w:sz w:val="28"/>
          <w:szCs w:val="28"/>
        </w:rPr>
        <w:t>改善作法：</w:t>
      </w:r>
    </w:p>
    <w:p w:rsidR="008D0AF9" w:rsidRPr="008D0AF9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8D0AF9" w:rsidRDefault="008D0AF9" w:rsidP="008D0AF9">
      <w:pPr>
        <w:spacing w:line="460" w:lineRule="exact"/>
        <w:ind w:left="1276" w:hanging="992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0AF9">
        <w:rPr>
          <w:rFonts w:ascii="標楷體" w:eastAsia="標楷體" w:hAnsi="標楷體" w:cs="Times New Roman"/>
          <w:spacing w:val="-14"/>
          <w:sz w:val="28"/>
          <w:szCs w:val="28"/>
        </w:rPr>
        <w:t>信用合作社資產評估損失準備提列及逾期放款催收款呆帳處理辦法</w:t>
      </w: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8D0AF9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2.依規定填報並落實複核機制。</w:t>
      </w:r>
    </w:p>
    <w:p w:rsidR="008D0AF9" w:rsidRPr="008D0AF9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p w:rsidR="00431CC5" w:rsidRPr="00AC5C74" w:rsidRDefault="00431CC5" w:rsidP="00431CC5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810BD0" w:rsidTr="00DB4E87">
        <w:trPr>
          <w:trHeight w:val="2214"/>
        </w:trPr>
        <w:tc>
          <w:tcPr>
            <w:tcW w:w="8372" w:type="dxa"/>
          </w:tcPr>
          <w:p w:rsidR="008D0AF9" w:rsidRPr="008D0AF9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5C74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二：</w:t>
            </w:r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資本適足率</w:t>
            </w:r>
            <w:r w:rsidR="00673E24">
              <w:rPr>
                <w:rFonts w:ascii="標楷體" w:eastAsia="標楷體" w:hAnsi="標楷體" w:hint="eastAsia"/>
                <w:b/>
                <w:sz w:val="28"/>
                <w:szCs w:val="28"/>
              </w:rPr>
              <w:t>申報有</w:t>
            </w:r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673E24">
              <w:rPr>
                <w:rFonts w:ascii="標楷體" w:eastAsia="標楷體" w:hAnsi="標楷體" w:hint="eastAsia"/>
                <w:b/>
                <w:sz w:val="28"/>
                <w:szCs w:val="28"/>
              </w:rPr>
              <w:t>差</w:t>
            </w:r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D0AF9" w:rsidRPr="00185EF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  <w:p w:rsidR="008D0AF9" w:rsidRPr="008D0AF9" w:rsidRDefault="008D0AF9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1.放款預期損失率計算錯誤，</w:t>
            </w:r>
            <w:proofErr w:type="gramStart"/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致經核算</w:t>
            </w:r>
            <w:proofErr w:type="gramEnd"/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得列入第二類資本之備抵呆帳多列。</w:t>
            </w:r>
          </w:p>
          <w:p w:rsidR="008D0AF9" w:rsidRPr="008D0AF9" w:rsidRDefault="008D0AF9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2.信用風險加權風險性資產總額中，將合格住宅用不動產逾期債權（風險權數100%），</w:t>
            </w:r>
            <w:proofErr w:type="gramStart"/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誤列非</w:t>
            </w:r>
            <w:proofErr w:type="gramEnd"/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合格擔保品逾期債權（風險權數150%）。</w:t>
            </w:r>
          </w:p>
          <w:p w:rsidR="008D0AF9" w:rsidRPr="008D0AF9" w:rsidRDefault="008D0AF9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3.對非屬合格住宅用不動產之企業戶放款、資金用途為投資理財或週轉金貸款，非屬「提供本人、配偶或未成年人子女所購(所有)之住宅為擔保」之購建住宅及房屋裝修貸款，</w:t>
            </w:r>
            <w:proofErr w:type="gramStart"/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誤列合格</w:t>
            </w:r>
            <w:proofErr w:type="gramEnd"/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住宅用不動產（風險權數45％）。</w:t>
            </w:r>
          </w:p>
          <w:p w:rsidR="008D0AF9" w:rsidRPr="008D0AF9" w:rsidRDefault="008D0AF9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4.可取消之承諾(約定融資額度)未列入表外交易之信用風險申報。</w:t>
            </w:r>
          </w:p>
          <w:p w:rsidR="008D0AF9" w:rsidRPr="008D0AF9" w:rsidRDefault="00673E24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.「應收保證款項」未列入表外交易之信用風險計算。</w:t>
            </w:r>
          </w:p>
          <w:p w:rsidR="008D0AF9" w:rsidRPr="008D0AF9" w:rsidRDefault="00673E24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.對</w:t>
            </w:r>
            <w:proofErr w:type="gramStart"/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交易簿應計</w:t>
            </w:r>
            <w:proofErr w:type="gramEnd"/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提交易對手信用風險之附買回型交易契</w:t>
            </w:r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約，計算交易對手信用風險抵減後</w:t>
            </w:r>
            <w:proofErr w:type="gramStart"/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暴險額</w:t>
            </w:r>
            <w:proofErr w:type="gramEnd"/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時，有誤用「</w:t>
            </w:r>
            <w:proofErr w:type="gramStart"/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擔保品現值</w:t>
            </w:r>
            <w:proofErr w:type="gramEnd"/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」及「擔保品之折扣比率」，致短列交易對手信用風險加權風險性資產。</w:t>
            </w:r>
          </w:p>
          <w:p w:rsidR="008D0AF9" w:rsidRPr="008D0AF9" w:rsidRDefault="00673E24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.對持有交易簿應計提市場風險之權益證券風險商品，有超過該社於我國權益證券投資組合毛部位之10%，未具「充分分散特性」，</w:t>
            </w:r>
            <w:r w:rsidR="009967C4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002AE3">
              <w:rPr>
                <w:rFonts w:ascii="標楷體" w:eastAsia="標楷體" w:hAnsi="標楷體" w:hint="eastAsia"/>
                <w:b/>
                <w:sz w:val="28"/>
                <w:szCs w:val="28"/>
              </w:rPr>
              <w:t>以4%計提資本，</w:t>
            </w:r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致個別風險應計提資本短列。另持有</w:t>
            </w:r>
            <w:proofErr w:type="gramStart"/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交易簿應計</w:t>
            </w:r>
            <w:proofErr w:type="gramEnd"/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提市場風險之權益證券風險</w:t>
            </w:r>
            <w:proofErr w:type="gramStart"/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商品淨長部位因短計股票</w:t>
            </w:r>
            <w:proofErr w:type="gramEnd"/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部位，致短列一般市場風險應計提資本。</w:t>
            </w:r>
          </w:p>
          <w:p w:rsidR="00431CC5" w:rsidRPr="00431CC5" w:rsidRDefault="00673E24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8D0AF9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.作業風險性資產總額漏列備供出售金融資產股息紅利收入。</w:t>
            </w:r>
          </w:p>
        </w:tc>
      </w:tr>
    </w:tbl>
    <w:p w:rsidR="00431CC5" w:rsidRPr="00273434" w:rsidRDefault="00431CC5" w:rsidP="00431CC5">
      <w:pPr>
        <w:spacing w:line="460" w:lineRule="exact"/>
        <w:ind w:left="1276" w:hanging="1276"/>
        <w:rPr>
          <w:rFonts w:ascii="標楷體" w:eastAsia="標楷體" w:hAnsi="標楷體" w:cs="Times New Roman"/>
          <w:b/>
          <w:color w:val="FF0000"/>
          <w:spacing w:val="-14"/>
          <w:sz w:val="28"/>
          <w:szCs w:val="28"/>
        </w:rPr>
      </w:pPr>
      <w:r w:rsidRPr="00273434">
        <w:rPr>
          <w:rFonts w:ascii="標楷體" w:eastAsia="標楷體" w:hAnsi="標楷體" w:cs="Times New Roman" w:hint="eastAsia"/>
          <w:b/>
          <w:color w:val="FF0000"/>
          <w:spacing w:val="-14"/>
          <w:sz w:val="28"/>
          <w:szCs w:val="28"/>
        </w:rPr>
        <w:lastRenderedPageBreak/>
        <w:t>改善作法：</w:t>
      </w:r>
    </w:p>
    <w:p w:rsidR="008D0AF9" w:rsidRPr="008D0AF9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8D0AF9" w:rsidRDefault="008D0AF9" w:rsidP="00B65AF9">
      <w:pPr>
        <w:spacing w:line="460" w:lineRule="exact"/>
        <w:ind w:leftChars="118" w:left="283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信用合作社</w:t>
      </w:r>
      <w:proofErr w:type="gramStart"/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採行新巴塞</w:t>
      </w:r>
      <w:proofErr w:type="gramEnd"/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爾資本協定簡易標準法自有資本與風險性資產計算方法說明。</w:t>
      </w:r>
    </w:p>
    <w:p w:rsidR="008D0AF9" w:rsidRPr="008D0AF9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2.正確建檔並依規定填報及落實複核機制。</w:t>
      </w:r>
    </w:p>
    <w:p w:rsidR="008D0AF9" w:rsidRPr="008D0AF9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p w:rsidR="00431CC5" w:rsidRPr="008D0AF9" w:rsidRDefault="00431CC5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810BD0" w:rsidTr="00431CC5">
        <w:trPr>
          <w:trHeight w:val="1505"/>
        </w:trPr>
        <w:tc>
          <w:tcPr>
            <w:tcW w:w="8372" w:type="dxa"/>
          </w:tcPr>
          <w:p w:rsidR="008D0AF9" w:rsidRPr="004C04A0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5C74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D0AF9" w:rsidRPr="004C04A0">
              <w:rPr>
                <w:rFonts w:ascii="標楷體" w:eastAsia="標楷體" w:hAnsi="標楷體" w:hint="eastAsia"/>
                <w:b/>
                <w:sz w:val="28"/>
                <w:szCs w:val="28"/>
              </w:rPr>
              <w:t>建築貸款</w:t>
            </w:r>
            <w:r w:rsidR="008D0AF9" w:rsidRPr="00185EF7">
              <w:rPr>
                <w:rFonts w:ascii="標楷體" w:eastAsia="標楷體" w:hAnsi="標楷體" w:hint="eastAsia"/>
                <w:b/>
                <w:sz w:val="28"/>
                <w:szCs w:val="28"/>
              </w:rPr>
              <w:t>申報錯誤</w:t>
            </w:r>
            <w:r w:rsid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8D0AF9" w:rsidRPr="008D0AF9" w:rsidRDefault="008D0AF9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1.借戶屬建築相關行業，</w:t>
            </w:r>
            <w:r w:rsidR="00542B27"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未將</w:t>
            </w:r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週轉金貸款或購地貸款列入申報。</w:t>
            </w:r>
          </w:p>
          <w:p w:rsidR="008D0AF9" w:rsidRPr="008D0AF9" w:rsidRDefault="008D0AF9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542B27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從事建築投資之個人購地貸款餘額</w:t>
            </w:r>
            <w:r w:rsidR="00542B27">
              <w:rPr>
                <w:rFonts w:ascii="標楷體" w:eastAsia="標楷體" w:hAnsi="標楷體" w:hint="eastAsia"/>
                <w:b/>
                <w:sz w:val="28"/>
                <w:szCs w:val="28"/>
              </w:rPr>
              <w:t>未</w:t>
            </w:r>
            <w:r w:rsidRPr="008D0AF9">
              <w:rPr>
                <w:rFonts w:ascii="標楷體" w:eastAsia="標楷體" w:hAnsi="標楷體" w:hint="eastAsia"/>
                <w:b/>
                <w:sz w:val="28"/>
                <w:szCs w:val="28"/>
              </w:rPr>
              <w:t>列入申報。</w:t>
            </w:r>
          </w:p>
          <w:p w:rsidR="00431CC5" w:rsidRPr="008D0AF9" w:rsidRDefault="00431CC5" w:rsidP="008D0AF9">
            <w:pPr>
              <w:spacing w:line="460" w:lineRule="exact"/>
              <w:ind w:left="286" w:hangingChars="102" w:hanging="28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31CC5" w:rsidRPr="00273434" w:rsidRDefault="00431CC5" w:rsidP="00431CC5">
      <w:pPr>
        <w:spacing w:line="460" w:lineRule="exact"/>
        <w:ind w:left="1276" w:hanging="1276"/>
        <w:rPr>
          <w:rFonts w:ascii="標楷體" w:eastAsia="標楷體" w:hAnsi="標楷體" w:cs="Times New Roman"/>
          <w:b/>
          <w:color w:val="FF0000"/>
          <w:spacing w:val="-14"/>
          <w:sz w:val="28"/>
          <w:szCs w:val="28"/>
        </w:rPr>
      </w:pPr>
      <w:r w:rsidRPr="00273434">
        <w:rPr>
          <w:rFonts w:ascii="標楷體" w:eastAsia="標楷體" w:hAnsi="標楷體" w:cs="Times New Roman" w:hint="eastAsia"/>
          <w:b/>
          <w:color w:val="FF0000"/>
          <w:spacing w:val="-14"/>
          <w:sz w:val="28"/>
          <w:szCs w:val="28"/>
        </w:rPr>
        <w:t>改善作法：</w:t>
      </w:r>
    </w:p>
    <w:p w:rsidR="008D0AF9" w:rsidRPr="008D0AF9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8D0AF9" w:rsidRDefault="008D0AF9" w:rsidP="00B65AF9">
      <w:pPr>
        <w:spacing w:line="460" w:lineRule="exact"/>
        <w:ind w:left="1276" w:hanging="992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FI395信用合作社授信業務申報資料表填報說明之定義：</w:t>
      </w:r>
    </w:p>
    <w:p w:rsidR="008D0AF9" w:rsidRPr="008D0AF9" w:rsidRDefault="008D0AF9" w:rsidP="00B65AF9">
      <w:pPr>
        <w:spacing w:line="460" w:lineRule="exact"/>
        <w:ind w:left="993" w:hanging="709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（1）對建築業貸款，</w:t>
      </w:r>
      <w:r w:rsidRPr="008D0AF9">
        <w:rPr>
          <w:rFonts w:ascii="標楷體" w:eastAsia="標楷體" w:hAnsi="標楷體" w:cs="Times New Roman"/>
          <w:spacing w:val="-14"/>
          <w:sz w:val="28"/>
          <w:szCs w:val="28"/>
        </w:rPr>
        <w:t>係指對以房屋興建投資為主要業務之企業承做之購地、興建房屋及週轉金貸款</w:t>
      </w: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8D0AF9" w:rsidRDefault="008D0AF9" w:rsidP="00B65AF9">
      <w:pPr>
        <w:spacing w:line="460" w:lineRule="exact"/>
        <w:ind w:left="993" w:hanging="709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（2）對其他企業建築貸款，</w:t>
      </w:r>
      <w:r w:rsidRPr="008D0AF9">
        <w:rPr>
          <w:rFonts w:ascii="標楷體" w:eastAsia="標楷體" w:hAnsi="標楷體" w:cs="Times New Roman"/>
          <w:spacing w:val="-14"/>
          <w:sz w:val="28"/>
          <w:szCs w:val="28"/>
        </w:rPr>
        <w:t>係指對建築業以外之企業所辦理之購地</w:t>
      </w: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及</w:t>
      </w:r>
      <w:r w:rsidRPr="008D0AF9">
        <w:rPr>
          <w:rFonts w:ascii="標楷體" w:eastAsia="標楷體" w:hAnsi="標楷體" w:cs="Times New Roman"/>
          <w:spacing w:val="-14"/>
          <w:sz w:val="28"/>
          <w:szCs w:val="28"/>
        </w:rPr>
        <w:t>興</w:t>
      </w:r>
      <w:r w:rsidRPr="008D0AF9">
        <w:rPr>
          <w:rFonts w:ascii="標楷體" w:eastAsia="標楷體" w:hAnsi="標楷體" w:cs="Times New Roman"/>
          <w:spacing w:val="-14"/>
          <w:sz w:val="28"/>
          <w:szCs w:val="28"/>
        </w:rPr>
        <w:lastRenderedPageBreak/>
        <w:t>建房屋貸款</w:t>
      </w: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8D0AF9" w:rsidRDefault="008D0AF9" w:rsidP="00B65AF9">
      <w:pPr>
        <w:spacing w:line="460" w:lineRule="exact"/>
        <w:ind w:left="993" w:hanging="709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（3）對個人戶建築貸款，</w:t>
      </w:r>
      <w:r w:rsidRPr="008D0AF9">
        <w:rPr>
          <w:rFonts w:ascii="標楷體" w:eastAsia="標楷體" w:hAnsi="標楷體" w:cs="Times New Roman"/>
          <w:spacing w:val="-14"/>
          <w:sz w:val="28"/>
          <w:szCs w:val="28"/>
        </w:rPr>
        <w:t>係指對從事建築投資之個人所辦理之購地</w:t>
      </w: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及</w:t>
      </w:r>
      <w:r w:rsidRPr="008D0AF9">
        <w:rPr>
          <w:rFonts w:ascii="標楷體" w:eastAsia="標楷體" w:hAnsi="標楷體" w:cs="Times New Roman"/>
          <w:spacing w:val="-14"/>
          <w:sz w:val="28"/>
          <w:szCs w:val="28"/>
        </w:rPr>
        <w:t>興建房屋貸款。</w:t>
      </w:r>
    </w:p>
    <w:p w:rsidR="008D0AF9" w:rsidRPr="008D0AF9" w:rsidRDefault="008D0AF9" w:rsidP="00B65AF9">
      <w:pPr>
        <w:spacing w:line="460" w:lineRule="exact"/>
        <w:ind w:left="993" w:hanging="709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（4）其他</w:t>
      </w:r>
      <w:r w:rsidRPr="008D0AF9">
        <w:rPr>
          <w:rFonts w:ascii="標楷體" w:eastAsia="標楷體" w:hAnsi="標楷體" w:cs="Times New Roman"/>
          <w:spacing w:val="-14"/>
          <w:sz w:val="28"/>
          <w:szCs w:val="28"/>
        </w:rPr>
        <w:t>建築貸款</w:t>
      </w: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（屬房屋興建屬自用部分）餘額。</w:t>
      </w:r>
    </w:p>
    <w:p w:rsidR="008D0AF9" w:rsidRPr="008D0AF9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2.正確建檔並依規定填報及落實複核機制。</w:t>
      </w:r>
    </w:p>
    <w:p w:rsidR="008D0AF9" w:rsidRPr="008D0AF9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0AF9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sectPr w:rsidR="008D0AF9" w:rsidRPr="008D0AF9" w:rsidSect="000B72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873" w:rsidRDefault="006C7873" w:rsidP="00A42FFF">
      <w:r>
        <w:separator/>
      </w:r>
    </w:p>
  </w:endnote>
  <w:endnote w:type="continuationSeparator" w:id="0">
    <w:p w:rsidR="006C7873" w:rsidRDefault="006C7873" w:rsidP="00A4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885"/>
      <w:docPartObj>
        <w:docPartGallery w:val="Page Numbers (Bottom of Page)"/>
        <w:docPartUnique/>
      </w:docPartObj>
    </w:sdtPr>
    <w:sdtContent>
      <w:p w:rsidR="00A42FFF" w:rsidRDefault="004A0CD2">
        <w:pPr>
          <w:pStyle w:val="a6"/>
          <w:jc w:val="center"/>
        </w:pPr>
        <w:fldSimple w:instr=" PAGE   \* MERGEFORMAT ">
          <w:r w:rsidR="000F4493" w:rsidRPr="000F4493">
            <w:rPr>
              <w:noProof/>
              <w:lang w:val="zh-TW"/>
            </w:rPr>
            <w:t>1</w:t>
          </w:r>
        </w:fldSimple>
      </w:p>
    </w:sdtContent>
  </w:sdt>
  <w:p w:rsidR="00A42FFF" w:rsidRDefault="00A42F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873" w:rsidRDefault="006C7873" w:rsidP="00A42FFF">
      <w:r>
        <w:separator/>
      </w:r>
    </w:p>
  </w:footnote>
  <w:footnote w:type="continuationSeparator" w:id="0">
    <w:p w:rsidR="006C7873" w:rsidRDefault="006C7873" w:rsidP="00A4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04E"/>
    <w:multiLevelType w:val="hybridMultilevel"/>
    <w:tmpl w:val="06AC326A"/>
    <w:lvl w:ilvl="0" w:tplc="CB4A872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B"/>
    <w:rsid w:val="00002AE3"/>
    <w:rsid w:val="00022A6F"/>
    <w:rsid w:val="0003582C"/>
    <w:rsid w:val="00056A0F"/>
    <w:rsid w:val="00062F65"/>
    <w:rsid w:val="000B7245"/>
    <w:rsid w:val="000E4016"/>
    <w:rsid w:val="000F4493"/>
    <w:rsid w:val="00104718"/>
    <w:rsid w:val="0011694C"/>
    <w:rsid w:val="001427C2"/>
    <w:rsid w:val="00151F80"/>
    <w:rsid w:val="00185EF7"/>
    <w:rsid w:val="00196166"/>
    <w:rsid w:val="001C4048"/>
    <w:rsid w:val="001F7FF5"/>
    <w:rsid w:val="002049F0"/>
    <w:rsid w:val="00264C86"/>
    <w:rsid w:val="00273434"/>
    <w:rsid w:val="00274E06"/>
    <w:rsid w:val="00310267"/>
    <w:rsid w:val="0031602C"/>
    <w:rsid w:val="003F0E5D"/>
    <w:rsid w:val="003F4A29"/>
    <w:rsid w:val="00431CC5"/>
    <w:rsid w:val="0044639D"/>
    <w:rsid w:val="0046084B"/>
    <w:rsid w:val="00476D42"/>
    <w:rsid w:val="00483CA1"/>
    <w:rsid w:val="004A0CD2"/>
    <w:rsid w:val="004E67EB"/>
    <w:rsid w:val="00516F31"/>
    <w:rsid w:val="00542B27"/>
    <w:rsid w:val="00543A8E"/>
    <w:rsid w:val="005801D4"/>
    <w:rsid w:val="00585F2E"/>
    <w:rsid w:val="005A4389"/>
    <w:rsid w:val="005C2ED4"/>
    <w:rsid w:val="005F1BFC"/>
    <w:rsid w:val="006013FE"/>
    <w:rsid w:val="00673E24"/>
    <w:rsid w:val="0068365A"/>
    <w:rsid w:val="006B20B9"/>
    <w:rsid w:val="006C7873"/>
    <w:rsid w:val="006D1C41"/>
    <w:rsid w:val="00711738"/>
    <w:rsid w:val="00726FA3"/>
    <w:rsid w:val="00751A38"/>
    <w:rsid w:val="007735AB"/>
    <w:rsid w:val="007B32C9"/>
    <w:rsid w:val="008361CF"/>
    <w:rsid w:val="008725A6"/>
    <w:rsid w:val="008741CB"/>
    <w:rsid w:val="008D0AF9"/>
    <w:rsid w:val="00916238"/>
    <w:rsid w:val="009275C2"/>
    <w:rsid w:val="009366A0"/>
    <w:rsid w:val="009967C4"/>
    <w:rsid w:val="009A2949"/>
    <w:rsid w:val="00A4082E"/>
    <w:rsid w:val="00A42FFF"/>
    <w:rsid w:val="00A57694"/>
    <w:rsid w:val="00A655EC"/>
    <w:rsid w:val="00A95069"/>
    <w:rsid w:val="00AC5C74"/>
    <w:rsid w:val="00AC653B"/>
    <w:rsid w:val="00B24D0A"/>
    <w:rsid w:val="00B272DE"/>
    <w:rsid w:val="00B57846"/>
    <w:rsid w:val="00B65AF9"/>
    <w:rsid w:val="00B77BBC"/>
    <w:rsid w:val="00B82C6C"/>
    <w:rsid w:val="00B91699"/>
    <w:rsid w:val="00BE7BE6"/>
    <w:rsid w:val="00BF30A9"/>
    <w:rsid w:val="00C13B18"/>
    <w:rsid w:val="00CD7949"/>
    <w:rsid w:val="00CE0EE8"/>
    <w:rsid w:val="00D101FA"/>
    <w:rsid w:val="00DB3BBC"/>
    <w:rsid w:val="00DD58B9"/>
    <w:rsid w:val="00DF287D"/>
    <w:rsid w:val="00E46306"/>
    <w:rsid w:val="00E620AC"/>
    <w:rsid w:val="00EA261D"/>
    <w:rsid w:val="00EE4A65"/>
    <w:rsid w:val="00F02F5E"/>
    <w:rsid w:val="00F16DEF"/>
    <w:rsid w:val="00FB4BFB"/>
    <w:rsid w:val="00FB4DF7"/>
    <w:rsid w:val="00FD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A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42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FFF"/>
    <w:rPr>
      <w:sz w:val="20"/>
      <w:szCs w:val="20"/>
    </w:rPr>
  </w:style>
  <w:style w:type="table" w:styleId="a8">
    <w:name w:val="Table Grid"/>
    <w:basedOn w:val="a1"/>
    <w:uiPriority w:val="59"/>
    <w:rsid w:val="00476D42"/>
    <w:pPr>
      <w:ind w:left="567" w:hanging="567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994</Characters>
  <Application>Microsoft Office Word</Application>
  <DocSecurity>0</DocSecurity>
  <Lines>8</Lines>
  <Paragraphs>2</Paragraphs>
  <ScaleCrop>false</ScaleCrop>
  <Company>CDIC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c137</dc:creator>
  <cp:lastModifiedBy>劉瑞萍</cp:lastModifiedBy>
  <cp:revision>2</cp:revision>
  <cp:lastPrinted>2015-02-10T09:58:00Z</cp:lastPrinted>
  <dcterms:created xsi:type="dcterms:W3CDTF">2015-02-11T08:07:00Z</dcterms:created>
  <dcterms:modified xsi:type="dcterms:W3CDTF">2015-02-11T08:07:00Z</dcterms:modified>
</cp:coreProperties>
</file>