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484B84" w:rsidRDefault="004E67EB" w:rsidP="003B3F7C">
      <w:pPr>
        <w:spacing w:line="460" w:lineRule="exact"/>
        <w:ind w:left="284" w:hanging="284"/>
        <w:jc w:val="center"/>
        <w:rPr>
          <w:rFonts w:ascii="標楷體" w:eastAsia="標楷體" w:hAnsi="標楷體"/>
          <w:b/>
          <w:sz w:val="28"/>
          <w:szCs w:val="28"/>
        </w:rPr>
      </w:pPr>
      <w:r w:rsidRPr="00484B84">
        <w:rPr>
          <w:rFonts w:ascii="標楷體" w:eastAsia="標楷體" w:hAnsi="標楷體"/>
          <w:b/>
          <w:sz w:val="28"/>
          <w:szCs w:val="28"/>
        </w:rPr>
        <w:t>風險指標資料</w:t>
      </w:r>
      <w:r w:rsidRPr="00484B84">
        <w:rPr>
          <w:rFonts w:ascii="標楷體" w:eastAsia="標楷體" w:hAnsi="標楷體" w:hint="eastAsia"/>
          <w:b/>
          <w:sz w:val="28"/>
          <w:szCs w:val="28"/>
        </w:rPr>
        <w:t>查核缺失態樣</w:t>
      </w:r>
      <w:r w:rsidR="00DF287D" w:rsidRPr="00484B84">
        <w:rPr>
          <w:rFonts w:ascii="標楷體" w:eastAsia="標楷體" w:hAnsi="標楷體" w:hint="eastAsia"/>
          <w:b/>
          <w:sz w:val="28"/>
          <w:szCs w:val="28"/>
        </w:rPr>
        <w:t>（10</w:t>
      </w:r>
      <w:r w:rsidR="00737BA1" w:rsidRPr="00484B84">
        <w:rPr>
          <w:rFonts w:ascii="標楷體" w:eastAsia="標楷體" w:hAnsi="標楷體" w:hint="eastAsia"/>
          <w:b/>
          <w:sz w:val="28"/>
          <w:szCs w:val="28"/>
        </w:rPr>
        <w:t>6</w:t>
      </w:r>
      <w:r w:rsidR="00DF287D" w:rsidRPr="00484B84">
        <w:rPr>
          <w:rFonts w:ascii="標楷體" w:eastAsia="標楷體" w:hAnsi="標楷體" w:hint="eastAsia"/>
          <w:b/>
          <w:sz w:val="28"/>
          <w:szCs w:val="28"/>
        </w:rPr>
        <w:t>年</w:t>
      </w:r>
      <w:r w:rsidR="000A7041" w:rsidRPr="00484B84">
        <w:rPr>
          <w:rFonts w:ascii="標楷體" w:eastAsia="標楷體" w:hAnsi="標楷體" w:hint="eastAsia"/>
          <w:b/>
          <w:sz w:val="28"/>
          <w:szCs w:val="28"/>
        </w:rPr>
        <w:t>上</w:t>
      </w:r>
      <w:r w:rsidR="000A0EF2" w:rsidRPr="00484B84">
        <w:rPr>
          <w:rFonts w:ascii="標楷體" w:eastAsia="標楷體" w:hAnsi="標楷體" w:hint="eastAsia"/>
          <w:b/>
          <w:sz w:val="28"/>
          <w:szCs w:val="28"/>
        </w:rPr>
        <w:t>半年</w:t>
      </w:r>
      <w:r w:rsidR="00DF287D" w:rsidRPr="00484B84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4E67EB" w:rsidRPr="00484B84" w:rsidRDefault="00DF287D" w:rsidP="00C60128">
      <w:pPr>
        <w:spacing w:line="460" w:lineRule="exact"/>
        <w:ind w:left="284" w:hanging="284"/>
        <w:jc w:val="center"/>
        <w:rPr>
          <w:rFonts w:ascii="標楷體" w:eastAsia="標楷體" w:hAnsi="標楷體"/>
          <w:b/>
          <w:sz w:val="28"/>
          <w:szCs w:val="28"/>
        </w:rPr>
      </w:pPr>
      <w:r w:rsidRPr="00484B84">
        <w:rPr>
          <w:rFonts w:ascii="標楷體" w:eastAsia="標楷體" w:hAnsi="標楷體" w:hint="eastAsia"/>
          <w:b/>
          <w:sz w:val="28"/>
          <w:szCs w:val="28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484B84" w:rsidTr="00484B84">
        <w:trPr>
          <w:trHeight w:val="2361"/>
        </w:trPr>
        <w:tc>
          <w:tcPr>
            <w:tcW w:w="8372" w:type="dxa"/>
          </w:tcPr>
          <w:p w:rsidR="008D0AF9" w:rsidRPr="00E94433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  <w:r w:rsidR="00C601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94433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D20D79" w:rsidRPr="00484B84" w:rsidRDefault="008D0AF9" w:rsidP="000A7041">
            <w:pPr>
              <w:spacing w:line="460" w:lineRule="exact"/>
              <w:ind w:left="1134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借戶</w:t>
            </w:r>
            <w:r w:rsidR="00564A35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本金雖未超逾清償期，惟</w:t>
            </w:r>
            <w:proofErr w:type="gramStart"/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擔保品遭第三</w:t>
            </w:r>
            <w:proofErr w:type="gramEnd"/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人強制執行</w:t>
            </w:r>
            <w:r w:rsidR="00564A35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，或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票據遭受拒絕往來戶處分</w:t>
            </w:r>
            <w:r w:rsidR="00564A35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或前置</w:t>
            </w:r>
            <w:proofErr w:type="gramStart"/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協商等債信</w:t>
            </w:r>
            <w:proofErr w:type="gramEnd"/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不良情形者，及其應提列之應收利息，未</w:t>
            </w:r>
            <w:r w:rsidR="006D1C41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為應予注意（Ⅱ類）。</w:t>
            </w:r>
          </w:p>
          <w:p w:rsidR="000A7041" w:rsidRPr="00484B84" w:rsidRDefault="000A7041" w:rsidP="000A7041">
            <w:pPr>
              <w:spacing w:line="460" w:lineRule="exact"/>
              <w:ind w:left="1134" w:firstLine="0"/>
              <w:jc w:val="both"/>
              <w:rPr>
                <w:rFonts w:hAnsi="標楷體"/>
                <w:b/>
                <w:szCs w:val="28"/>
              </w:rPr>
            </w:pPr>
          </w:p>
        </w:tc>
      </w:tr>
    </w:tbl>
    <w:p w:rsidR="004E67EB" w:rsidRPr="00484B84" w:rsidRDefault="004E67EB" w:rsidP="00C60128">
      <w:pPr>
        <w:spacing w:line="460" w:lineRule="exact"/>
        <w:ind w:leftChars="59" w:left="1756" w:hanging="1614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484B84" w:rsidRDefault="008D0AF9" w:rsidP="00C60128">
      <w:pPr>
        <w:spacing w:line="460" w:lineRule="exact"/>
        <w:ind w:leftChars="472" w:left="2409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484B84" w:rsidRDefault="008D0AF9" w:rsidP="00C60128">
      <w:pPr>
        <w:spacing w:line="460" w:lineRule="exact"/>
        <w:ind w:leftChars="590" w:left="141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/>
          <w:spacing w:val="-14"/>
          <w:sz w:val="28"/>
          <w:szCs w:val="28"/>
        </w:rPr>
        <w:t>信用合作社資產評估損失準備提列及逾期放款催收款呆帳處理辦法</w:t>
      </w: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484B84" w:rsidRDefault="008D0AF9" w:rsidP="00C60128">
      <w:pPr>
        <w:spacing w:line="460" w:lineRule="exact"/>
        <w:ind w:leftChars="472" w:left="2409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2.依規定填報並落實複核機制。</w:t>
      </w:r>
    </w:p>
    <w:p w:rsidR="00431CC5" w:rsidRPr="00484B84" w:rsidRDefault="008D0AF9" w:rsidP="00C60128">
      <w:pPr>
        <w:spacing w:line="460" w:lineRule="exact"/>
        <w:ind w:leftChars="472" w:left="2409" w:hanging="1276"/>
        <w:jc w:val="both"/>
        <w:rPr>
          <w:rFonts w:ascii="標楷體" w:eastAsia="標楷體" w:hAnsi="標楷體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0A7041" w:rsidRPr="00484B84" w:rsidRDefault="000A7041" w:rsidP="00C60128">
      <w:pPr>
        <w:ind w:leftChars="472" w:left="1133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484B84" w:rsidTr="00BA3A03">
        <w:trPr>
          <w:trHeight w:val="589"/>
        </w:trPr>
        <w:tc>
          <w:tcPr>
            <w:tcW w:w="8372" w:type="dxa"/>
          </w:tcPr>
          <w:p w:rsidR="008D0AF9" w:rsidRPr="00484B84" w:rsidRDefault="00DF287D" w:rsidP="00C407F7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484B84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</w:t>
            </w:r>
            <w:r w:rsidR="00C601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70DEF" w:rsidRPr="00484B84" w:rsidRDefault="00D20D79" w:rsidP="00C407F7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6076CC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870DE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合格零售債權（風險權數75％）、非合格零售債權（風險權數100％）及其應收利息，誤列為合格住宅抵押貸款</w:t>
            </w:r>
            <w:r w:rsidR="00870DEF" w:rsidRPr="00484B84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="00870DEF" w:rsidRPr="00484B84">
              <w:rPr>
                <w:rFonts w:eastAsia="標楷體" w:hAnsi="標楷體"/>
                <w:b/>
                <w:sz w:val="28"/>
                <w:szCs w:val="28"/>
              </w:rPr>
              <w:t>風險權數</w:t>
            </w:r>
            <w:r w:rsidR="00870DE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45%</w:t>
            </w:r>
            <w:r w:rsidR="00870DEF" w:rsidRPr="00484B8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="00870DE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DC5E3F" w:rsidRPr="00484B84" w:rsidRDefault="00C407F7" w:rsidP="00C407F7">
            <w:pPr>
              <w:pStyle w:val="a4"/>
              <w:tabs>
                <w:tab w:val="clear" w:pos="8306"/>
                <w:tab w:val="left" w:pos="10260"/>
              </w:tabs>
              <w:spacing w:line="460" w:lineRule="exact"/>
              <w:ind w:leftChars="468" w:left="1406" w:hangingChars="101" w:hanging="283"/>
              <w:jc w:val="both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0A7041" w:rsidRPr="00484B84">
              <w:rPr>
                <w:rFonts w:ascii="標楷體" w:eastAsia="標楷體" w:hAnsi="標楷體" w:hint="eastAsia"/>
                <w:b/>
                <w:sz w:val="28"/>
              </w:rPr>
              <w:t>.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非合格零售債權(風險權數100%)誤列為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合格零售債權者（風險權數75％）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DC5E3F" w:rsidRPr="00484B84" w:rsidRDefault="00C407F7" w:rsidP="00C407F7">
            <w:pPr>
              <w:spacing w:line="460" w:lineRule="exact"/>
              <w:ind w:leftChars="588" w:left="1781" w:hangingChars="132" w:hanging="37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(1)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個人授信歸戶後暴險額超逾個別暴險金額限制者。</w:t>
            </w:r>
          </w:p>
          <w:p w:rsidR="00DC5E3F" w:rsidRPr="00484B84" w:rsidRDefault="00C407F7" w:rsidP="00C407F7">
            <w:pPr>
              <w:spacing w:line="460" w:lineRule="exact"/>
              <w:ind w:leftChars="588" w:left="1781" w:hangingChars="132" w:hanging="37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(2)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有未符合零售債權之交易對象標準者(對單一個人、數個人或單一中小企業)。</w:t>
            </w:r>
          </w:p>
          <w:p w:rsidR="000A7041" w:rsidRDefault="00C407F7" w:rsidP="00484B84">
            <w:pPr>
              <w:pStyle w:val="a4"/>
              <w:tabs>
                <w:tab w:val="clear" w:pos="8306"/>
                <w:tab w:val="left" w:pos="10260"/>
              </w:tabs>
              <w:spacing w:line="460" w:lineRule="exact"/>
              <w:ind w:leftChars="472" w:left="1408" w:hangingChars="98" w:hanging="27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484B84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計算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作業風險</w:t>
            </w:r>
            <w:r w:rsidR="00DC5AB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資產</w:t>
            </w:r>
            <w:r w:rsidR="00484B84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時，有將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特殊或異常項目（帳列其他什項支出）自營業毛利扣</w:t>
            </w:r>
            <w:r w:rsidR="00484B84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除，或</w:t>
            </w:r>
            <w:r w:rsidR="00DC5E3F" w:rsidRPr="00484B84">
              <w:rPr>
                <w:rFonts w:ascii="標楷體" w:eastAsia="標楷體" w:hint="eastAsia"/>
                <w:b/>
                <w:sz w:val="28"/>
                <w:szCs w:val="28"/>
              </w:rPr>
              <w:t>「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其他非利息淨損益」漏列屬投資性不動產租金收入</w:t>
            </w:r>
            <w:r w:rsidR="0098601E">
              <w:rPr>
                <w:rFonts w:ascii="標楷體" w:eastAsia="標楷體" w:hAnsi="標楷體" w:hint="eastAsia"/>
                <w:b/>
                <w:sz w:val="28"/>
                <w:szCs w:val="28"/>
              </w:rPr>
              <w:t>，或</w:t>
            </w:r>
            <w:r w:rsidR="0098601E" w:rsidRPr="0098601E">
              <w:rPr>
                <w:rFonts w:ascii="標楷體" w:eastAsia="標楷體" w:hAnsi="標楷體" w:hint="eastAsia"/>
                <w:b/>
                <w:sz w:val="28"/>
                <w:szCs w:val="28"/>
              </w:rPr>
              <w:t>漏列備供出售金融資產股息紅利收入</w:t>
            </w:r>
            <w:r w:rsidR="00484B84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，致作業風險性資產</w:t>
            </w:r>
            <w:r w:rsidR="00484B84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少</w:t>
            </w:r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列。</w:t>
            </w:r>
            <w:r w:rsidR="00DC5E3F" w:rsidRPr="00484B84"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  <w:p w:rsidR="0098601E" w:rsidRPr="0098601E" w:rsidRDefault="0098601E" w:rsidP="0098601E">
            <w:pPr>
              <w:pStyle w:val="a4"/>
              <w:tabs>
                <w:tab w:val="clear" w:pos="8306"/>
                <w:tab w:val="left" w:pos="10260"/>
              </w:tabs>
              <w:spacing w:line="460" w:lineRule="exact"/>
              <w:ind w:leftChars="472" w:left="1408" w:hangingChars="98" w:hanging="275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</w:t>
            </w:r>
            <w:r w:rsidRPr="0098601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票債券附賣回交易對手信用風險</w:t>
            </w:r>
            <w:r w:rsidRPr="0098601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98601E">
              <w:rPr>
                <w:rFonts w:eastAsia="標楷體" w:hAnsi="標楷體" w:hint="eastAsia"/>
                <w:b/>
                <w:bCs/>
                <w:color w:val="000000" w:themeColor="text1"/>
                <w:spacing w:val="20"/>
                <w:sz w:val="28"/>
                <w:szCs w:val="28"/>
              </w:rPr>
              <w:t>未依交易對手信用</w:t>
            </w:r>
            <w:r w:rsidRPr="0098601E">
              <w:rPr>
                <w:rFonts w:eastAsia="標楷體" w:hAnsi="標楷體" w:hint="eastAsia"/>
                <w:b/>
                <w:bCs/>
                <w:color w:val="000000" w:themeColor="text1"/>
                <w:spacing w:val="20"/>
                <w:sz w:val="28"/>
                <w:szCs w:val="28"/>
              </w:rPr>
              <w:lastRenderedPageBreak/>
              <w:t>風險應計提資本計算方法</w:t>
            </w:r>
            <w:r>
              <w:rPr>
                <w:rFonts w:eastAsia="標楷體" w:hAnsi="標楷體" w:hint="eastAsia"/>
                <w:b/>
                <w:bCs/>
                <w:color w:val="000000" w:themeColor="text1"/>
                <w:spacing w:val="20"/>
                <w:sz w:val="28"/>
                <w:szCs w:val="28"/>
              </w:rPr>
              <w:t>，</w:t>
            </w:r>
            <w:r w:rsidRPr="0098601E">
              <w:rPr>
                <w:rFonts w:eastAsia="標楷體" w:hAnsi="標楷體" w:hint="eastAsia"/>
                <w:b/>
                <w:bCs/>
                <w:color w:val="000000" w:themeColor="text1"/>
                <w:spacing w:val="20"/>
                <w:sz w:val="28"/>
                <w:szCs w:val="28"/>
              </w:rPr>
              <w:t>計提交易對手</w:t>
            </w:r>
            <w:r w:rsidRPr="0098601E">
              <w:rPr>
                <w:rFonts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信用風險加權風險性資產額</w:t>
            </w:r>
            <w:r w:rsidRPr="0098601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填報</w:t>
            </w:r>
            <w:r w:rsidRPr="0098601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98601E" w:rsidRPr="0098601E" w:rsidRDefault="0098601E" w:rsidP="0098601E">
            <w:pPr>
              <w:pStyle w:val="a4"/>
              <w:tabs>
                <w:tab w:val="clear" w:pos="8306"/>
                <w:tab w:val="left" w:pos="10260"/>
              </w:tabs>
              <w:spacing w:line="460" w:lineRule="exact"/>
              <w:ind w:leftChars="472" w:left="1408" w:hangingChars="98" w:hanging="27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</w:t>
            </w:r>
            <w:r w:rsidRPr="0098601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可取消之承諾(約定融資額度)未列入資產負債表</w:t>
            </w:r>
            <w:proofErr w:type="gramStart"/>
            <w:r w:rsidRPr="0098601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表</w:t>
            </w:r>
            <w:proofErr w:type="gramEnd"/>
            <w:r w:rsidRPr="0098601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外資產項目及</w:t>
            </w:r>
            <w:r w:rsidRPr="0098601E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「表外項目</w:t>
            </w:r>
            <w:r w:rsidRPr="0098601E">
              <w:rPr>
                <w:rFonts w:eastAsia="標楷體"/>
                <w:b/>
                <w:color w:val="000000" w:themeColor="text1"/>
                <w:sz w:val="28"/>
                <w:szCs w:val="28"/>
              </w:rPr>
              <w:t>-</w:t>
            </w:r>
            <w:r w:rsidRPr="0098601E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一般表外交易之信用風險信用相當額計算表」</w:t>
            </w:r>
            <w:r w:rsidRPr="0098601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填報。</w:t>
            </w:r>
          </w:p>
          <w:p w:rsidR="000A7041" w:rsidRPr="00484B84" w:rsidRDefault="000A7041" w:rsidP="00484B84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484B84" w:rsidRDefault="00431CC5" w:rsidP="00C60128">
      <w:pPr>
        <w:spacing w:line="460" w:lineRule="exact"/>
        <w:ind w:leftChars="59" w:left="1756" w:hanging="1614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lastRenderedPageBreak/>
        <w:t>改善作法：</w:t>
      </w:r>
    </w:p>
    <w:p w:rsidR="008D0AF9" w:rsidRPr="00484B84" w:rsidRDefault="008D0AF9" w:rsidP="00C60128">
      <w:pPr>
        <w:spacing w:line="460" w:lineRule="exact"/>
        <w:ind w:leftChars="472" w:left="2409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484B84" w:rsidRDefault="008D0AF9" w:rsidP="00C60128">
      <w:pPr>
        <w:spacing w:line="460" w:lineRule="exact"/>
        <w:ind w:leftChars="589" w:left="1417" w:hangingChars="1" w:hanging="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信用合作社</w:t>
      </w:r>
      <w:proofErr w:type="gramStart"/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採行新巴塞</w:t>
      </w:r>
      <w:proofErr w:type="gramEnd"/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爾資本協定簡易標準法自有資本與風險性資產計算方法說明。</w:t>
      </w:r>
    </w:p>
    <w:p w:rsidR="008D0AF9" w:rsidRPr="00484B84" w:rsidRDefault="008D0AF9" w:rsidP="00C60128">
      <w:pPr>
        <w:spacing w:line="460" w:lineRule="exact"/>
        <w:ind w:leftChars="472" w:left="2409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484B84" w:rsidRDefault="008D0AF9" w:rsidP="00C60128">
      <w:pPr>
        <w:spacing w:line="460" w:lineRule="exact"/>
        <w:ind w:leftChars="472" w:left="2409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3B313F" w:rsidRPr="00484B84" w:rsidRDefault="003B313F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484B84" w:rsidTr="007C0FE0">
        <w:trPr>
          <w:trHeight w:val="1613"/>
        </w:trPr>
        <w:tc>
          <w:tcPr>
            <w:tcW w:w="8372" w:type="dxa"/>
          </w:tcPr>
          <w:p w:rsidR="008D0AF9" w:rsidRPr="00484B84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="00DC5E3F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建築貸款申報錯誤：</w:t>
            </w:r>
            <w:r w:rsidR="00C601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D0AF9" w:rsidRPr="00484B84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1.借戶屬建築業，</w:t>
            </w:r>
            <w:r w:rsidR="00542B27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未將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</w:p>
          <w:p w:rsidR="00BA3A03" w:rsidRDefault="008D0AF9" w:rsidP="007C0FE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542B27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從事建築投資之個人購地貸款餘額</w:t>
            </w:r>
            <w:r w:rsidR="00542B27"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r w:rsidRPr="00484B84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列入申報。</w:t>
            </w:r>
          </w:p>
          <w:p w:rsidR="00DC5ABF" w:rsidRPr="00484B84" w:rsidRDefault="00DC5ABF" w:rsidP="007C0FE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484B84" w:rsidRDefault="00431CC5" w:rsidP="00C60128">
      <w:pPr>
        <w:spacing w:line="460" w:lineRule="exact"/>
        <w:ind w:leftChars="59" w:left="1756" w:hanging="1614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  <w:r w:rsidR="009B372A" w:rsidRPr="00484B84">
        <w:rPr>
          <w:rFonts w:ascii="標楷體" w:eastAsia="標楷體" w:hAnsi="標楷體" w:cs="Times New Roman"/>
          <w:b/>
          <w:spacing w:val="-14"/>
          <w:sz w:val="28"/>
          <w:szCs w:val="28"/>
        </w:rPr>
        <w:t xml:space="preserve"> </w:t>
      </w:r>
    </w:p>
    <w:p w:rsidR="008D0AF9" w:rsidRPr="00484B84" w:rsidRDefault="008D0AF9" w:rsidP="00C60128">
      <w:pPr>
        <w:spacing w:line="460" w:lineRule="exact"/>
        <w:ind w:leftChars="472" w:left="2409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484B84" w:rsidRDefault="008D0AF9" w:rsidP="00C60128">
      <w:pPr>
        <w:spacing w:line="460" w:lineRule="exact"/>
        <w:ind w:leftChars="531" w:left="2550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FI395信用合作社授信業務申報資料表填報說明之定義：</w:t>
      </w:r>
    </w:p>
    <w:p w:rsidR="008D0AF9" w:rsidRPr="00484B84" w:rsidRDefault="008D0AF9" w:rsidP="00C60128">
      <w:pPr>
        <w:spacing w:line="460" w:lineRule="exact"/>
        <w:ind w:leftChars="530" w:left="1902" w:hangingChars="250" w:hanging="630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（1）對建築業貸款，</w:t>
      </w:r>
      <w:r w:rsidRPr="00484B84">
        <w:rPr>
          <w:rFonts w:ascii="標楷體" w:eastAsia="標楷體" w:hAnsi="標楷體" w:cs="Times New Roman"/>
          <w:spacing w:val="-14"/>
          <w:sz w:val="28"/>
          <w:szCs w:val="28"/>
        </w:rPr>
        <w:t>係指對以房屋興建投資為主要業務之企業承做之購地、興建房屋及週轉金貸款</w:t>
      </w: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484B84" w:rsidRDefault="008D0AF9" w:rsidP="00C60128">
      <w:pPr>
        <w:spacing w:line="460" w:lineRule="exact"/>
        <w:ind w:leftChars="531" w:left="1904" w:hangingChars="250" w:hanging="630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（2）對其他企業建築貸款，</w:t>
      </w:r>
      <w:r w:rsidRPr="00484B84">
        <w:rPr>
          <w:rFonts w:ascii="標楷體" w:eastAsia="標楷體" w:hAnsi="標楷體" w:cs="Times New Roman"/>
          <w:spacing w:val="-14"/>
          <w:sz w:val="28"/>
          <w:szCs w:val="28"/>
        </w:rPr>
        <w:t>係指對建築業以外之企業所辦理之購地</w:t>
      </w: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484B84">
        <w:rPr>
          <w:rFonts w:ascii="標楷體" w:eastAsia="標楷體" w:hAnsi="標楷體" w:cs="Times New Roman"/>
          <w:spacing w:val="-14"/>
          <w:sz w:val="28"/>
          <w:szCs w:val="28"/>
        </w:rPr>
        <w:t>興建房屋貸款</w:t>
      </w: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484B84" w:rsidRDefault="008D0AF9" w:rsidP="00C60128">
      <w:pPr>
        <w:spacing w:line="460" w:lineRule="exact"/>
        <w:ind w:leftChars="531" w:left="1904" w:hangingChars="250" w:hanging="630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（3）對個人戶建築貸款，</w:t>
      </w:r>
      <w:r w:rsidRPr="00484B84">
        <w:rPr>
          <w:rFonts w:ascii="標楷體" w:eastAsia="標楷體" w:hAnsi="標楷體" w:cs="Times New Roman"/>
          <w:spacing w:val="-14"/>
          <w:sz w:val="28"/>
          <w:szCs w:val="28"/>
        </w:rPr>
        <w:t>係指對從事建築投資之個人所辦理之購地</w:t>
      </w: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484B84">
        <w:rPr>
          <w:rFonts w:ascii="標楷體" w:eastAsia="標楷體" w:hAnsi="標楷體" w:cs="Times New Roman"/>
          <w:spacing w:val="-14"/>
          <w:sz w:val="28"/>
          <w:szCs w:val="28"/>
        </w:rPr>
        <w:t>興建房屋貸款。</w:t>
      </w:r>
    </w:p>
    <w:p w:rsidR="008D0AF9" w:rsidRPr="00484B84" w:rsidRDefault="008D0AF9" w:rsidP="00C60128">
      <w:pPr>
        <w:spacing w:line="460" w:lineRule="exact"/>
        <w:ind w:leftChars="531" w:left="1904" w:hangingChars="250" w:hanging="630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（4）其他</w:t>
      </w:r>
      <w:r w:rsidRPr="00484B84">
        <w:rPr>
          <w:rFonts w:ascii="標楷體" w:eastAsia="標楷體" w:hAnsi="標楷體" w:cs="Times New Roman"/>
          <w:spacing w:val="-14"/>
          <w:sz w:val="28"/>
          <w:szCs w:val="28"/>
        </w:rPr>
        <w:t>建築貸款</w:t>
      </w: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（屬房屋興建屬自用部分）餘額。</w:t>
      </w:r>
    </w:p>
    <w:p w:rsidR="008D0AF9" w:rsidRPr="00484B84" w:rsidRDefault="008D0AF9" w:rsidP="00C60128">
      <w:pPr>
        <w:spacing w:line="460" w:lineRule="exact"/>
        <w:ind w:leftChars="472" w:left="2549" w:hanging="141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484B84" w:rsidRPr="00484B84" w:rsidRDefault="008D0AF9" w:rsidP="00DC5ABF">
      <w:pPr>
        <w:spacing w:line="460" w:lineRule="exact"/>
        <w:ind w:leftChars="472" w:left="2689" w:hanging="1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484B84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sectPr w:rsidR="00484B84" w:rsidRPr="00484B84" w:rsidSect="007E38AD">
      <w:footerReference w:type="default" r:id="rId7"/>
      <w:pgSz w:w="11906" w:h="16838"/>
      <w:pgMar w:top="141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F7" w:rsidRDefault="00C407F7" w:rsidP="00A42FFF">
      <w:r>
        <w:separator/>
      </w:r>
    </w:p>
  </w:endnote>
  <w:endnote w:type="continuationSeparator" w:id="0">
    <w:p w:rsidR="00C407F7" w:rsidRDefault="00C407F7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C407F7" w:rsidRDefault="00051A90">
        <w:pPr>
          <w:pStyle w:val="a6"/>
          <w:jc w:val="center"/>
        </w:pPr>
        <w:fldSimple w:instr=" PAGE   \* MERGEFORMAT ">
          <w:r w:rsidR="00284658" w:rsidRPr="00284658">
            <w:rPr>
              <w:noProof/>
              <w:lang w:val="zh-TW"/>
            </w:rPr>
            <w:t>1</w:t>
          </w:r>
        </w:fldSimple>
      </w:p>
    </w:sdtContent>
  </w:sdt>
  <w:p w:rsidR="00C407F7" w:rsidRDefault="00C407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F7" w:rsidRDefault="00C407F7" w:rsidP="00A42FFF">
      <w:r>
        <w:separator/>
      </w:r>
    </w:p>
  </w:footnote>
  <w:footnote w:type="continuationSeparator" w:id="0">
    <w:p w:rsidR="00C407F7" w:rsidRDefault="00C407F7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46DA5312"/>
    <w:multiLevelType w:val="hybridMultilevel"/>
    <w:tmpl w:val="4320B460"/>
    <w:lvl w:ilvl="0" w:tplc="7AB4E6C2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46DC1782"/>
    <w:multiLevelType w:val="hybridMultilevel"/>
    <w:tmpl w:val="4320B460"/>
    <w:lvl w:ilvl="0" w:tplc="7AB4E6C2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54AD3FD2"/>
    <w:multiLevelType w:val="hybridMultilevel"/>
    <w:tmpl w:val="2E34F0BE"/>
    <w:lvl w:ilvl="0" w:tplc="7EE45D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643C2C34"/>
    <w:multiLevelType w:val="hybridMultilevel"/>
    <w:tmpl w:val="0CFEB966"/>
    <w:lvl w:ilvl="0" w:tplc="959C1144">
      <w:start w:val="1"/>
      <w:numFmt w:val="decimal"/>
      <w:lvlText w:val="(%1)"/>
      <w:lvlJc w:val="left"/>
      <w:pPr>
        <w:ind w:left="1961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4B23AD"/>
    <w:multiLevelType w:val="hybridMultilevel"/>
    <w:tmpl w:val="4320B460"/>
    <w:lvl w:ilvl="0" w:tplc="7AB4E6C2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1A90"/>
    <w:rsid w:val="00056A0F"/>
    <w:rsid w:val="00062F65"/>
    <w:rsid w:val="00062FBA"/>
    <w:rsid w:val="000778AE"/>
    <w:rsid w:val="000A0EF2"/>
    <w:rsid w:val="000A7041"/>
    <w:rsid w:val="000B7245"/>
    <w:rsid w:val="000E4016"/>
    <w:rsid w:val="000F4493"/>
    <w:rsid w:val="00104718"/>
    <w:rsid w:val="0011694C"/>
    <w:rsid w:val="001240DF"/>
    <w:rsid w:val="001427C2"/>
    <w:rsid w:val="00151F80"/>
    <w:rsid w:val="00185EF7"/>
    <w:rsid w:val="00196166"/>
    <w:rsid w:val="001C4048"/>
    <w:rsid w:val="001F7FF5"/>
    <w:rsid w:val="002049F0"/>
    <w:rsid w:val="00215AB3"/>
    <w:rsid w:val="00215FB1"/>
    <w:rsid w:val="00264C86"/>
    <w:rsid w:val="00273434"/>
    <w:rsid w:val="00274E06"/>
    <w:rsid w:val="00284658"/>
    <w:rsid w:val="00294F81"/>
    <w:rsid w:val="00310267"/>
    <w:rsid w:val="0031602C"/>
    <w:rsid w:val="003160F4"/>
    <w:rsid w:val="003306EE"/>
    <w:rsid w:val="003606E5"/>
    <w:rsid w:val="00392C4D"/>
    <w:rsid w:val="003B313F"/>
    <w:rsid w:val="003B3F7C"/>
    <w:rsid w:val="003F0E5D"/>
    <w:rsid w:val="003F4A29"/>
    <w:rsid w:val="00431CC5"/>
    <w:rsid w:val="00437088"/>
    <w:rsid w:val="0044639D"/>
    <w:rsid w:val="0046084B"/>
    <w:rsid w:val="00476D42"/>
    <w:rsid w:val="00483CA1"/>
    <w:rsid w:val="00484B84"/>
    <w:rsid w:val="004A0CD2"/>
    <w:rsid w:val="004E67EB"/>
    <w:rsid w:val="004F3F4B"/>
    <w:rsid w:val="00516F31"/>
    <w:rsid w:val="005428A9"/>
    <w:rsid w:val="00542B27"/>
    <w:rsid w:val="00543A8E"/>
    <w:rsid w:val="0055731E"/>
    <w:rsid w:val="00564A35"/>
    <w:rsid w:val="0056554C"/>
    <w:rsid w:val="005801D4"/>
    <w:rsid w:val="00585F2E"/>
    <w:rsid w:val="0059544F"/>
    <w:rsid w:val="005A4389"/>
    <w:rsid w:val="005B13F9"/>
    <w:rsid w:val="005C2ED4"/>
    <w:rsid w:val="005F1BFC"/>
    <w:rsid w:val="006013FE"/>
    <w:rsid w:val="006053DD"/>
    <w:rsid w:val="006076CC"/>
    <w:rsid w:val="00654EEA"/>
    <w:rsid w:val="00673E24"/>
    <w:rsid w:val="0068365A"/>
    <w:rsid w:val="006B20B9"/>
    <w:rsid w:val="006C7873"/>
    <w:rsid w:val="006D1C41"/>
    <w:rsid w:val="00711738"/>
    <w:rsid w:val="00726FA3"/>
    <w:rsid w:val="00737BA1"/>
    <w:rsid w:val="00751A38"/>
    <w:rsid w:val="007735AB"/>
    <w:rsid w:val="00774012"/>
    <w:rsid w:val="0079144F"/>
    <w:rsid w:val="007B32C9"/>
    <w:rsid w:val="007C0FE0"/>
    <w:rsid w:val="007E38AD"/>
    <w:rsid w:val="007F64C0"/>
    <w:rsid w:val="008361CF"/>
    <w:rsid w:val="00870DEF"/>
    <w:rsid w:val="008725A6"/>
    <w:rsid w:val="008741CB"/>
    <w:rsid w:val="008A3339"/>
    <w:rsid w:val="008C751D"/>
    <w:rsid w:val="008D0AF9"/>
    <w:rsid w:val="00916238"/>
    <w:rsid w:val="009275C2"/>
    <w:rsid w:val="009366A0"/>
    <w:rsid w:val="0098601E"/>
    <w:rsid w:val="009967C4"/>
    <w:rsid w:val="009A2949"/>
    <w:rsid w:val="009B372A"/>
    <w:rsid w:val="009B7A83"/>
    <w:rsid w:val="009D14DA"/>
    <w:rsid w:val="00A07432"/>
    <w:rsid w:val="00A4082E"/>
    <w:rsid w:val="00A42FFF"/>
    <w:rsid w:val="00A57694"/>
    <w:rsid w:val="00A655EC"/>
    <w:rsid w:val="00A95069"/>
    <w:rsid w:val="00AB2690"/>
    <w:rsid w:val="00AC5C74"/>
    <w:rsid w:val="00AC653B"/>
    <w:rsid w:val="00B24D0A"/>
    <w:rsid w:val="00B272DE"/>
    <w:rsid w:val="00B272F5"/>
    <w:rsid w:val="00B328AE"/>
    <w:rsid w:val="00B57846"/>
    <w:rsid w:val="00B65AF9"/>
    <w:rsid w:val="00B77BBC"/>
    <w:rsid w:val="00B82C6C"/>
    <w:rsid w:val="00B91699"/>
    <w:rsid w:val="00BA3A03"/>
    <w:rsid w:val="00BE7BE6"/>
    <w:rsid w:val="00BF30A9"/>
    <w:rsid w:val="00C00B01"/>
    <w:rsid w:val="00C13B18"/>
    <w:rsid w:val="00C2010F"/>
    <w:rsid w:val="00C407F7"/>
    <w:rsid w:val="00C60128"/>
    <w:rsid w:val="00CD7949"/>
    <w:rsid w:val="00CE0EE8"/>
    <w:rsid w:val="00D101FA"/>
    <w:rsid w:val="00D20D79"/>
    <w:rsid w:val="00DB3BBC"/>
    <w:rsid w:val="00DC5ABF"/>
    <w:rsid w:val="00DC5E3F"/>
    <w:rsid w:val="00DD58B9"/>
    <w:rsid w:val="00DF287D"/>
    <w:rsid w:val="00E02E75"/>
    <w:rsid w:val="00E06739"/>
    <w:rsid w:val="00E46306"/>
    <w:rsid w:val="00E620AC"/>
    <w:rsid w:val="00E66021"/>
    <w:rsid w:val="00E90CF8"/>
    <w:rsid w:val="00E94433"/>
    <w:rsid w:val="00EA261D"/>
    <w:rsid w:val="00ED1E4B"/>
    <w:rsid w:val="00EE4A65"/>
    <w:rsid w:val="00F01633"/>
    <w:rsid w:val="00F02F5E"/>
    <w:rsid w:val="00F16DEF"/>
    <w:rsid w:val="00FB4BFB"/>
    <w:rsid w:val="00FB4DF7"/>
    <w:rsid w:val="00FC5BBD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152</Words>
  <Characters>868</Characters>
  <Application>Microsoft Office Word</Application>
  <DocSecurity>0</DocSecurity>
  <Lines>7</Lines>
  <Paragraphs>2</Paragraphs>
  <ScaleCrop>false</ScaleCrop>
  <Company>CDIC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c280</cp:lastModifiedBy>
  <cp:revision>7</cp:revision>
  <cp:lastPrinted>2017-07-20T07:17:00Z</cp:lastPrinted>
  <dcterms:created xsi:type="dcterms:W3CDTF">2017-07-13T02:09:00Z</dcterms:created>
  <dcterms:modified xsi:type="dcterms:W3CDTF">2017-07-25T01:44:00Z</dcterms:modified>
</cp:coreProperties>
</file>