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0B4FBB" w:rsidRDefault="004E67EB" w:rsidP="003A16F7">
      <w:pPr>
        <w:spacing w:line="460" w:lineRule="exact"/>
        <w:ind w:left="1412" w:hanging="1270"/>
        <w:jc w:val="center"/>
        <w:rPr>
          <w:rFonts w:ascii="標楷體" w:eastAsia="標楷體" w:hAnsi="標楷體"/>
          <w:b/>
          <w:color w:val="000000" w:themeColor="text1"/>
          <w:sz w:val="32"/>
          <w:szCs w:val="32"/>
        </w:rPr>
      </w:pPr>
      <w:r w:rsidRPr="000B4FBB">
        <w:rPr>
          <w:rFonts w:ascii="標楷體" w:eastAsia="標楷體" w:hAnsi="標楷體"/>
          <w:b/>
          <w:color w:val="000000" w:themeColor="text1"/>
          <w:sz w:val="32"/>
          <w:szCs w:val="32"/>
        </w:rPr>
        <w:t>風險指標資料</w:t>
      </w:r>
      <w:r w:rsidRPr="000B4FBB">
        <w:rPr>
          <w:rFonts w:ascii="標楷體" w:eastAsia="標楷體" w:hAnsi="標楷體" w:hint="eastAsia"/>
          <w:b/>
          <w:color w:val="000000" w:themeColor="text1"/>
          <w:sz w:val="32"/>
          <w:szCs w:val="32"/>
        </w:rPr>
        <w:t>查核缺失態樣</w:t>
      </w:r>
      <w:r w:rsidR="009C5010" w:rsidRPr="000B4FBB">
        <w:rPr>
          <w:rFonts w:ascii="標楷體" w:eastAsia="標楷體" w:hAnsi="標楷體" w:hint="eastAsia"/>
          <w:b/>
          <w:color w:val="000000" w:themeColor="text1"/>
          <w:sz w:val="32"/>
          <w:szCs w:val="32"/>
        </w:rPr>
        <w:t>（10</w:t>
      </w:r>
      <w:r w:rsidR="00D23D01">
        <w:rPr>
          <w:rFonts w:ascii="標楷體" w:eastAsia="標楷體" w:hAnsi="標楷體" w:hint="eastAsia"/>
          <w:b/>
          <w:color w:val="000000" w:themeColor="text1"/>
          <w:sz w:val="32"/>
          <w:szCs w:val="32"/>
        </w:rPr>
        <w:t>8</w:t>
      </w:r>
      <w:r w:rsidR="009C5010" w:rsidRPr="000B4FBB">
        <w:rPr>
          <w:rFonts w:ascii="標楷體" w:eastAsia="標楷體" w:hAnsi="標楷體" w:hint="eastAsia"/>
          <w:b/>
          <w:color w:val="000000" w:themeColor="text1"/>
          <w:sz w:val="32"/>
          <w:szCs w:val="32"/>
        </w:rPr>
        <w:t>年</w:t>
      </w:r>
      <w:r w:rsidR="00D23D01">
        <w:rPr>
          <w:rFonts w:ascii="標楷體" w:eastAsia="標楷體" w:hAnsi="標楷體" w:hint="eastAsia"/>
          <w:b/>
          <w:color w:val="000000" w:themeColor="text1"/>
          <w:sz w:val="32"/>
          <w:szCs w:val="32"/>
        </w:rPr>
        <w:t>上</w:t>
      </w:r>
      <w:r w:rsidR="00534097" w:rsidRPr="000B4FBB">
        <w:rPr>
          <w:rFonts w:ascii="標楷體" w:eastAsia="標楷體" w:hAnsi="標楷體" w:hint="eastAsia"/>
          <w:b/>
          <w:color w:val="000000" w:themeColor="text1"/>
          <w:sz w:val="32"/>
          <w:szCs w:val="32"/>
        </w:rPr>
        <w:t>半年</w:t>
      </w:r>
      <w:r w:rsidR="009C5010" w:rsidRPr="000B4FBB">
        <w:rPr>
          <w:rFonts w:ascii="標楷體" w:eastAsia="標楷體" w:hAnsi="標楷體" w:hint="eastAsia"/>
          <w:b/>
          <w:color w:val="000000" w:themeColor="text1"/>
          <w:sz w:val="32"/>
          <w:szCs w:val="32"/>
        </w:rPr>
        <w:t>）</w:t>
      </w:r>
    </w:p>
    <w:p w:rsidR="007A7C74" w:rsidRPr="000B4FBB" w:rsidRDefault="007A7C74" w:rsidP="003A16F7">
      <w:pPr>
        <w:ind w:left="1412" w:hanging="1270"/>
        <w:jc w:val="center"/>
        <w:rPr>
          <w:rFonts w:ascii="標楷體" w:eastAsia="標楷體" w:hAnsi="標楷體"/>
          <w:b/>
          <w:color w:val="000000" w:themeColor="text1"/>
          <w:sz w:val="32"/>
          <w:szCs w:val="32"/>
        </w:rPr>
      </w:pPr>
      <w:r w:rsidRPr="000B4FBB">
        <w:rPr>
          <w:rFonts w:ascii="標楷體" w:eastAsia="標楷體" w:hAnsi="標楷體" w:hint="eastAsia"/>
          <w:b/>
          <w:color w:val="000000" w:themeColor="text1"/>
          <w:sz w:val="32"/>
          <w:szCs w:val="32"/>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E13599" w:rsidRPr="000B4FBB" w:rsidTr="00E13599">
        <w:trPr>
          <w:trHeight w:val="1382"/>
        </w:trPr>
        <w:tc>
          <w:tcPr>
            <w:tcW w:w="8372" w:type="dxa"/>
          </w:tcPr>
          <w:p w:rsidR="00E13599" w:rsidRPr="000B4FBB" w:rsidRDefault="00E13599" w:rsidP="000B4FBB">
            <w:pPr>
              <w:spacing w:line="460" w:lineRule="exact"/>
              <w:ind w:left="1693" w:hanging="1693"/>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態樣</w:t>
            </w:r>
            <w:proofErr w:type="gramStart"/>
            <w:r w:rsidRPr="000B4FBB">
              <w:rPr>
                <w:rFonts w:ascii="標楷體" w:eastAsia="標楷體" w:hAnsi="標楷體" w:hint="eastAsia"/>
                <w:b/>
                <w:color w:val="000000" w:themeColor="text1"/>
                <w:sz w:val="28"/>
                <w:szCs w:val="28"/>
              </w:rPr>
              <w:t>一</w:t>
            </w:r>
            <w:proofErr w:type="gramEnd"/>
            <w:r w:rsidRPr="000B4FBB">
              <w:rPr>
                <w:rFonts w:ascii="標楷體" w:eastAsia="標楷體" w:hAnsi="標楷體" w:hint="eastAsia"/>
                <w:b/>
                <w:color w:val="000000" w:themeColor="text1"/>
                <w:sz w:val="28"/>
                <w:szCs w:val="28"/>
              </w:rPr>
              <w:t>：應予評估資產申報錯誤：</w:t>
            </w:r>
          </w:p>
          <w:p w:rsidR="00D23D01" w:rsidRPr="00946C8E" w:rsidRDefault="00D23D01" w:rsidP="00106C81">
            <w:pPr>
              <w:adjustRightInd w:val="0"/>
              <w:spacing w:line="460" w:lineRule="exact"/>
              <w:ind w:leftChars="469" w:left="1410" w:hanging="284"/>
              <w:jc w:val="left"/>
              <w:rPr>
                <w:rFonts w:ascii="標楷體" w:eastAsia="標楷體" w:hAnsi="標楷體"/>
                <w:sz w:val="28"/>
                <w:szCs w:val="28"/>
                <w:lang w:eastAsia="zh-HK"/>
              </w:rPr>
            </w:pPr>
            <w:r w:rsidRPr="00946C8E">
              <w:rPr>
                <w:rFonts w:ascii="標楷體" w:eastAsia="標楷體" w:hAnsi="標楷體" w:hint="eastAsia"/>
                <w:b/>
                <w:color w:val="000000"/>
                <w:sz w:val="28"/>
                <w:szCs w:val="28"/>
              </w:rPr>
              <w:t>1.對依「中華民國銀行公會會員辦理經濟部移送企業債權債務協商自律規範」辦理協議展延放款，均申報為第二類應予評估資產，</w:t>
            </w:r>
            <w:proofErr w:type="gramStart"/>
            <w:r w:rsidRPr="00946C8E">
              <w:rPr>
                <w:rFonts w:ascii="標楷體" w:eastAsia="標楷體" w:hAnsi="標楷體" w:hint="eastAsia"/>
                <w:b/>
                <w:color w:val="000000"/>
                <w:sz w:val="28"/>
                <w:szCs w:val="28"/>
              </w:rPr>
              <w:t>未衡酌該</w:t>
            </w:r>
            <w:proofErr w:type="gramEnd"/>
            <w:r w:rsidRPr="00946C8E">
              <w:rPr>
                <w:rFonts w:ascii="標楷體" w:eastAsia="標楷體" w:hAnsi="標楷體" w:hint="eastAsia"/>
                <w:b/>
                <w:color w:val="000000"/>
                <w:sz w:val="28"/>
                <w:szCs w:val="28"/>
              </w:rPr>
              <w:t>行對該等案件依國際財務報導準則第9號預期信用損失評估金額及客戶產業狀況，調整該等資產評估分類。</w:t>
            </w:r>
          </w:p>
          <w:p w:rsidR="00C35192" w:rsidRPr="000B4FBB" w:rsidRDefault="00D23D01" w:rsidP="00106C81">
            <w:pPr>
              <w:spacing w:line="460" w:lineRule="exact"/>
              <w:ind w:leftChars="469" w:left="1410" w:hanging="284"/>
              <w:jc w:val="left"/>
              <w:rPr>
                <w:rFonts w:ascii="標楷體" w:eastAsia="標楷體" w:hAnsi="標楷體"/>
                <w:b/>
                <w:color w:val="000000" w:themeColor="text1"/>
                <w:sz w:val="28"/>
                <w:szCs w:val="28"/>
              </w:rPr>
            </w:pPr>
            <w:r w:rsidRPr="00946C8E">
              <w:rPr>
                <w:rFonts w:ascii="標楷體" w:eastAsia="標楷體" w:hAnsi="標楷體" w:cs="新細明體" w:hint="eastAsia"/>
                <w:b/>
                <w:color w:val="000000"/>
                <w:sz w:val="28"/>
                <w:szCs w:val="28"/>
              </w:rPr>
              <w:t>2.申報應予評估約定融資額度之未用額度，係將帳列之「融資承諾準備」數額逕申報為第五類應予評估資產及可能遭受損失金額，未依國際財務報導準則第9號預期信用損失，填報可能遭受損失，並以該數額列為應予評估資產。</w:t>
            </w:r>
            <w:r w:rsidR="00C35192" w:rsidRPr="000B4FBB">
              <w:rPr>
                <w:rFonts w:ascii="標楷體" w:eastAsia="標楷體" w:hAnsi="標楷體" w:hint="eastAsia"/>
                <w:b/>
                <w:color w:val="000000" w:themeColor="text1"/>
                <w:sz w:val="28"/>
                <w:szCs w:val="28"/>
              </w:rPr>
              <w:t xml:space="preserve"> </w:t>
            </w:r>
          </w:p>
          <w:p w:rsidR="00E13599" w:rsidRPr="000B4FBB" w:rsidRDefault="00E13599" w:rsidP="000B4FBB">
            <w:pPr>
              <w:spacing w:line="460" w:lineRule="exact"/>
              <w:ind w:leftChars="588" w:left="1834" w:hangingChars="151" w:hanging="423"/>
              <w:jc w:val="both"/>
              <w:rPr>
                <w:rFonts w:ascii="標楷體" w:eastAsia="標楷體" w:hAnsi="標楷體"/>
                <w:b/>
                <w:color w:val="000000" w:themeColor="text1"/>
                <w:sz w:val="28"/>
                <w:szCs w:val="28"/>
              </w:rPr>
            </w:pPr>
          </w:p>
        </w:tc>
      </w:tr>
    </w:tbl>
    <w:p w:rsidR="00E13599" w:rsidRPr="000B4FBB" w:rsidRDefault="00E13599" w:rsidP="000B4FBB">
      <w:pPr>
        <w:spacing w:line="460" w:lineRule="exact"/>
        <w:ind w:left="1276" w:hanging="1134"/>
        <w:jc w:val="both"/>
        <w:rPr>
          <w:rFonts w:ascii="標楷體" w:eastAsia="標楷體" w:hAnsi="標楷體" w:cs="Times New Roman"/>
          <w:b/>
          <w:color w:val="000000" w:themeColor="text1"/>
          <w:sz w:val="28"/>
          <w:szCs w:val="28"/>
        </w:rPr>
      </w:pPr>
      <w:r w:rsidRPr="000B4FBB">
        <w:rPr>
          <w:rFonts w:ascii="標楷體" w:eastAsia="標楷體" w:hAnsi="標楷體" w:cs="Times New Roman" w:hint="eastAsia"/>
          <w:b/>
          <w:color w:val="000000" w:themeColor="text1"/>
          <w:sz w:val="28"/>
          <w:szCs w:val="28"/>
        </w:rPr>
        <w:t>改善作法：</w:t>
      </w:r>
    </w:p>
    <w:p w:rsidR="002E76EF" w:rsidRPr="002E76EF" w:rsidRDefault="0073721E" w:rsidP="002E76EF">
      <w:pPr>
        <w:pStyle w:val="a3"/>
        <w:numPr>
          <w:ilvl w:val="0"/>
          <w:numId w:val="15"/>
        </w:numPr>
        <w:spacing w:line="460" w:lineRule="exact"/>
        <w:ind w:leftChars="0" w:left="426" w:hanging="284"/>
        <w:jc w:val="both"/>
        <w:rPr>
          <w:rFonts w:ascii="標楷體" w:eastAsia="標楷體" w:hAnsi="標楷體" w:cs="Times New Roman"/>
          <w:sz w:val="28"/>
          <w:szCs w:val="28"/>
        </w:rPr>
      </w:pPr>
      <w:r w:rsidRPr="002E76EF">
        <w:rPr>
          <w:rFonts w:ascii="標楷體" w:eastAsia="標楷體" w:hAnsi="標楷體" w:cs="Times New Roman" w:hint="eastAsia"/>
          <w:sz w:val="28"/>
          <w:szCs w:val="28"/>
        </w:rPr>
        <w:t>參考法規：</w:t>
      </w:r>
    </w:p>
    <w:p w:rsidR="00016310" w:rsidRPr="00016310" w:rsidRDefault="00016310" w:rsidP="00016310">
      <w:pPr>
        <w:spacing w:line="460" w:lineRule="exact"/>
        <w:ind w:leftChars="178" w:left="850" w:hangingChars="151" w:hanging="423"/>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D861BC">
        <w:rPr>
          <w:rFonts w:ascii="標楷體" w:eastAsia="標楷體" w:hAnsi="標楷體" w:cs="Times New Roman" w:hint="eastAsia"/>
          <w:sz w:val="28"/>
          <w:szCs w:val="28"/>
        </w:rPr>
        <w:t>銀行</w:t>
      </w:r>
      <w:r w:rsidRPr="00016310">
        <w:rPr>
          <w:rFonts w:ascii="標楷體" w:eastAsia="標楷體" w:hAnsi="標楷體" w:cs="Times New Roman"/>
          <w:sz w:val="28"/>
          <w:szCs w:val="28"/>
        </w:rPr>
        <w:t>資產評估損失準備提列及逾期放款催收款呆帳處理辦法</w:t>
      </w:r>
      <w:r w:rsidRPr="00016310">
        <w:rPr>
          <w:rFonts w:ascii="標楷體" w:eastAsia="標楷體" w:hAnsi="標楷體" w:cs="Times New Roman" w:hint="eastAsia"/>
          <w:sz w:val="28"/>
          <w:szCs w:val="28"/>
        </w:rPr>
        <w:t>。</w:t>
      </w:r>
    </w:p>
    <w:p w:rsidR="0073721E" w:rsidRPr="002E76EF" w:rsidRDefault="00016310" w:rsidP="00016310">
      <w:pPr>
        <w:spacing w:line="460" w:lineRule="exact"/>
        <w:ind w:leftChars="178" w:left="850" w:hangingChars="151" w:hanging="423"/>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73721E" w:rsidRPr="002E76EF">
        <w:rPr>
          <w:rFonts w:ascii="標楷體" w:eastAsia="標楷體" w:hAnsi="標楷體" w:cs="Times New Roman" w:hint="eastAsia"/>
          <w:sz w:val="28"/>
          <w:szCs w:val="28"/>
        </w:rPr>
        <w:t>單一申報窗口</w:t>
      </w:r>
      <w:r w:rsidR="000B4FBB" w:rsidRPr="002E76EF">
        <w:rPr>
          <w:rFonts w:ascii="標楷體" w:eastAsia="標楷體" w:hAnsi="標楷體" w:cs="Times New Roman" w:hint="eastAsia"/>
          <w:sz w:val="28"/>
          <w:szCs w:val="28"/>
        </w:rPr>
        <w:t>AI345、BI345</w:t>
      </w:r>
      <w:r w:rsidR="0073721E" w:rsidRPr="002E76EF">
        <w:rPr>
          <w:rFonts w:ascii="標楷體" w:eastAsia="標楷體" w:hAnsi="標楷體" w:cs="Times New Roman" w:hint="eastAsia"/>
          <w:sz w:val="28"/>
          <w:szCs w:val="28"/>
        </w:rPr>
        <w:t>資產評估明細表填報說明</w:t>
      </w:r>
      <w:r w:rsidR="000B4FBB" w:rsidRPr="002E76EF">
        <w:rPr>
          <w:rFonts w:ascii="標楷體" w:eastAsia="標楷體" w:hAnsi="標楷體" w:cs="Times New Roman" w:hint="eastAsia"/>
          <w:sz w:val="28"/>
          <w:szCs w:val="28"/>
        </w:rPr>
        <w:t>。</w:t>
      </w:r>
    </w:p>
    <w:p w:rsidR="00E13599" w:rsidRPr="000B4FBB" w:rsidRDefault="00E13599" w:rsidP="001E482D">
      <w:pPr>
        <w:pStyle w:val="a3"/>
        <w:numPr>
          <w:ilvl w:val="0"/>
          <w:numId w:val="15"/>
        </w:numPr>
        <w:spacing w:line="460" w:lineRule="exact"/>
        <w:ind w:leftChars="0" w:left="426" w:hanging="284"/>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依規定</w:t>
      </w:r>
      <w:r w:rsidR="000666B6">
        <w:rPr>
          <w:rFonts w:ascii="標楷體" w:eastAsia="標楷體" w:hAnsi="標楷體" w:cs="Times New Roman" w:hint="eastAsia"/>
          <w:color w:val="000000" w:themeColor="text1"/>
          <w:sz w:val="28"/>
          <w:szCs w:val="28"/>
        </w:rPr>
        <w:t>填報</w:t>
      </w:r>
      <w:r w:rsidRPr="000B4FBB">
        <w:rPr>
          <w:rFonts w:ascii="標楷體" w:eastAsia="標楷體" w:hAnsi="標楷體" w:cs="Times New Roman" w:hint="eastAsia"/>
          <w:color w:val="000000" w:themeColor="text1"/>
          <w:sz w:val="28"/>
          <w:szCs w:val="28"/>
        </w:rPr>
        <w:t>並落實複核機制。</w:t>
      </w:r>
    </w:p>
    <w:p w:rsidR="00E13599" w:rsidRPr="000B4FBB" w:rsidRDefault="00E13599" w:rsidP="001E482D">
      <w:pPr>
        <w:pStyle w:val="a3"/>
        <w:numPr>
          <w:ilvl w:val="0"/>
          <w:numId w:val="15"/>
        </w:numPr>
        <w:spacing w:line="460" w:lineRule="exact"/>
        <w:ind w:leftChars="0" w:left="426" w:hanging="284"/>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內部稽核將申報資料正確性列為查核重點。</w:t>
      </w:r>
    </w:p>
    <w:p w:rsidR="00431CC5" w:rsidRPr="000B4FBB" w:rsidRDefault="00431CC5" w:rsidP="000B4FBB">
      <w:pPr>
        <w:spacing w:line="460" w:lineRule="exact"/>
        <w:ind w:left="1276" w:hanging="1276"/>
        <w:jc w:val="both"/>
        <w:rPr>
          <w:rFonts w:ascii="標楷體" w:eastAsia="標楷體" w:hAnsi="標楷體" w:cs="Times New Roman"/>
          <w:color w:val="000000" w:themeColor="text1"/>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0B4FBB" w:rsidTr="00587B88">
        <w:trPr>
          <w:trHeight w:val="2214"/>
        </w:trPr>
        <w:tc>
          <w:tcPr>
            <w:tcW w:w="8372" w:type="dxa"/>
          </w:tcPr>
          <w:p w:rsidR="00D23D01" w:rsidRPr="00CD28E6" w:rsidRDefault="009C5010" w:rsidP="00225B93">
            <w:pPr>
              <w:adjustRightInd w:val="0"/>
              <w:spacing w:line="460" w:lineRule="exact"/>
              <w:ind w:left="1410" w:hanging="141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態樣</w:t>
            </w:r>
            <w:r w:rsidR="00D23D01" w:rsidRPr="00CD28E6">
              <w:rPr>
                <w:rFonts w:ascii="標楷體" w:eastAsia="標楷體" w:hAnsi="標楷體" w:hint="eastAsia"/>
                <w:b/>
                <w:color w:val="000000"/>
                <w:sz w:val="28"/>
                <w:szCs w:val="28"/>
              </w:rPr>
              <w:t>二</w:t>
            </w:r>
            <w:r w:rsidRPr="00CD28E6">
              <w:rPr>
                <w:rFonts w:ascii="標楷體" w:eastAsia="標楷體" w:hAnsi="標楷體" w:hint="eastAsia"/>
                <w:b/>
                <w:color w:val="000000"/>
                <w:sz w:val="28"/>
                <w:szCs w:val="28"/>
              </w:rPr>
              <w:t>：</w:t>
            </w:r>
            <w:r w:rsidR="00431CC5" w:rsidRPr="00CD28E6">
              <w:rPr>
                <w:rFonts w:ascii="標楷體" w:eastAsia="標楷體" w:hAnsi="標楷體" w:hint="eastAsia"/>
                <w:b/>
                <w:color w:val="000000"/>
                <w:sz w:val="28"/>
                <w:szCs w:val="28"/>
              </w:rPr>
              <w:t>資本適足率</w:t>
            </w:r>
            <w:r w:rsidR="00777655" w:rsidRPr="00CD28E6">
              <w:rPr>
                <w:rFonts w:ascii="標楷體" w:eastAsia="標楷體" w:hAnsi="標楷體" w:hint="eastAsia"/>
                <w:b/>
                <w:color w:val="000000"/>
                <w:sz w:val="28"/>
                <w:szCs w:val="28"/>
              </w:rPr>
              <w:t>申報有</w:t>
            </w:r>
            <w:r w:rsidR="00431CC5" w:rsidRPr="00CD28E6">
              <w:rPr>
                <w:rFonts w:ascii="標楷體" w:eastAsia="標楷體" w:hAnsi="標楷體" w:hint="eastAsia"/>
                <w:b/>
                <w:color w:val="000000"/>
                <w:sz w:val="28"/>
                <w:szCs w:val="28"/>
              </w:rPr>
              <w:t>誤</w:t>
            </w:r>
            <w:r w:rsidR="00777655" w:rsidRPr="00CD28E6">
              <w:rPr>
                <w:rFonts w:ascii="標楷體" w:eastAsia="標楷體" w:hAnsi="標楷體" w:hint="eastAsia"/>
                <w:b/>
                <w:color w:val="000000"/>
                <w:sz w:val="28"/>
                <w:szCs w:val="28"/>
              </w:rPr>
              <w:t>差</w:t>
            </w:r>
            <w:r w:rsidR="0074510C" w:rsidRPr="00CD28E6">
              <w:rPr>
                <w:rFonts w:ascii="標楷體" w:eastAsia="標楷體" w:hAnsi="標楷體" w:hint="eastAsia"/>
                <w:b/>
                <w:color w:val="000000"/>
                <w:sz w:val="28"/>
                <w:szCs w:val="28"/>
              </w:rPr>
              <w:t>：</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1.</w:t>
            </w:r>
            <w:r w:rsidRPr="00CD28E6">
              <w:rPr>
                <w:rFonts w:ascii="標楷體" w:eastAsia="標楷體" w:hAnsi="標楷體"/>
                <w:b/>
                <w:sz w:val="28"/>
                <w:szCs w:val="28"/>
              </w:rPr>
              <w:t>自有資本</w:t>
            </w:r>
            <w:r w:rsidRPr="00CD28E6">
              <w:rPr>
                <w:rFonts w:ascii="標楷體" w:eastAsia="標楷體" w:hAnsi="標楷體" w:hint="eastAsia"/>
                <w:b/>
                <w:sz w:val="28"/>
                <w:szCs w:val="28"/>
              </w:rPr>
              <w:t>申報錯誤：</w:t>
            </w:r>
            <w:r w:rsidRPr="00CD28E6">
              <w:rPr>
                <w:rFonts w:ascii="標楷體" w:eastAsia="標楷體" w:hAnsi="標楷體"/>
                <w:b/>
                <w:sz w:val="28"/>
                <w:szCs w:val="28"/>
              </w:rPr>
              <w:t>漏未對帳列相對應之風險性資產-短期墊款，以歷史損失率估算其預期損失，</w:t>
            </w:r>
            <w:proofErr w:type="gramStart"/>
            <w:r w:rsidRPr="00CD28E6">
              <w:rPr>
                <w:rFonts w:ascii="標楷體" w:eastAsia="標楷體" w:hAnsi="標楷體"/>
                <w:b/>
                <w:sz w:val="28"/>
                <w:szCs w:val="28"/>
              </w:rPr>
              <w:t>致得列入</w:t>
            </w:r>
            <w:proofErr w:type="gramEnd"/>
            <w:r w:rsidRPr="00CD28E6">
              <w:rPr>
                <w:rFonts w:ascii="標楷體" w:eastAsia="標楷體" w:hAnsi="標楷體"/>
                <w:b/>
                <w:sz w:val="28"/>
                <w:szCs w:val="28"/>
              </w:rPr>
              <w:t>第二類資本之超過預期損失「營業準備及備抵呆帳」多列。</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2.</w:t>
            </w:r>
            <w:r w:rsidRPr="00CD28E6">
              <w:rPr>
                <w:rFonts w:ascii="標楷體" w:eastAsia="標楷體" w:hAnsi="標楷體"/>
                <w:b/>
                <w:color w:val="000000"/>
                <w:sz w:val="28"/>
                <w:szCs w:val="28"/>
              </w:rPr>
              <w:t>表內項目信用風險加權風險</w:t>
            </w:r>
            <w:r w:rsidRPr="00CD28E6">
              <w:rPr>
                <w:rFonts w:ascii="標楷體" w:eastAsia="標楷體" w:hAnsi="標楷體"/>
                <w:b/>
                <w:sz w:val="28"/>
                <w:szCs w:val="28"/>
              </w:rPr>
              <w:t>性資產</w:t>
            </w:r>
            <w:r w:rsidRPr="00CD28E6">
              <w:rPr>
                <w:rFonts w:ascii="標楷體" w:eastAsia="標楷體" w:hAnsi="標楷體" w:hint="eastAsia"/>
                <w:b/>
                <w:sz w:val="28"/>
                <w:szCs w:val="28"/>
              </w:rPr>
              <w:t>申報錯誤</w:t>
            </w:r>
            <w:r w:rsidRPr="00CD28E6">
              <w:rPr>
                <w:rFonts w:ascii="標楷體" w:eastAsia="標楷體" w:hAnsi="標楷體"/>
                <w:b/>
                <w:sz w:val="28"/>
                <w:szCs w:val="28"/>
              </w:rPr>
              <w:t>：</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1</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對資金用途為投資理財、購置商用不動產、消費性貸</w:t>
            </w:r>
            <w:r w:rsidRPr="00CD28E6">
              <w:rPr>
                <w:rFonts w:ascii="標楷體" w:eastAsia="標楷體" w:hAnsi="標楷體"/>
                <w:b/>
                <w:color w:val="000000"/>
                <w:sz w:val="28"/>
                <w:szCs w:val="28"/>
              </w:rPr>
              <w:lastRenderedPageBreak/>
              <w:t>款等非屬購建住宅或房屋裝修為目</w:t>
            </w:r>
            <w:r w:rsidRPr="00CD28E6">
              <w:rPr>
                <w:rFonts w:ascii="標楷體" w:eastAsia="標楷體" w:hAnsi="標楷體" w:hint="eastAsia"/>
                <w:b/>
                <w:color w:val="000000"/>
                <w:sz w:val="28"/>
                <w:szCs w:val="28"/>
              </w:rPr>
              <w:t>的</w:t>
            </w:r>
            <w:r w:rsidRPr="00CD28E6">
              <w:rPr>
                <w:rFonts w:ascii="標楷體" w:eastAsia="標楷體" w:hAnsi="標楷體"/>
                <w:b/>
                <w:color w:val="000000"/>
                <w:sz w:val="28"/>
                <w:szCs w:val="28"/>
              </w:rPr>
              <w:t>之放款，或擔保品為素地等非屬住宅用不動產擔保放款，誤適用住宅用不動產擔保債權之風險權數(35%或75%)，應調整為零售債權(75%)或非合格零售債權(100%)。</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(2)</w:t>
            </w:r>
            <w:r w:rsidRPr="00CD28E6">
              <w:rPr>
                <w:rFonts w:ascii="標楷體" w:eastAsia="標楷體" w:hAnsi="標楷體"/>
                <w:b/>
                <w:color w:val="000000"/>
                <w:sz w:val="28"/>
                <w:szCs w:val="28"/>
              </w:rPr>
              <w:t>對超逾足額擔保之自用住宅貸款，誤適用風險權數35%之住宅用不動產擔保債權，應調整為住宅用不動產擔保債權(75%)。</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(3)</w:t>
            </w:r>
            <w:r w:rsidRPr="00CD28E6">
              <w:rPr>
                <w:rFonts w:ascii="標楷體" w:eastAsia="標楷體" w:hAnsi="標楷體"/>
                <w:b/>
                <w:color w:val="000000"/>
                <w:sz w:val="28"/>
                <w:szCs w:val="28"/>
              </w:rPr>
              <w:t>對移送財團法人中小企業信用保證基金保證之放款，係以交易對手之風險權數(35%、75%及100%)計提風險性資產，未依提供信用保證機構適用之風險權數(20%)辦理風險抵減。</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(4)對</w:t>
            </w:r>
            <w:r w:rsidRPr="00CD28E6">
              <w:rPr>
                <w:rFonts w:ascii="標楷體" w:eastAsia="標楷體" w:hAnsi="標楷體"/>
                <w:b/>
                <w:color w:val="000000"/>
                <w:sz w:val="28"/>
                <w:szCs w:val="28"/>
              </w:rPr>
              <w:t>非屬中小企業</w:t>
            </w:r>
            <w:r w:rsidRPr="00CD28E6">
              <w:rPr>
                <w:rFonts w:ascii="標楷體" w:eastAsia="標楷體" w:hAnsi="標楷體" w:hint="eastAsia"/>
                <w:b/>
                <w:color w:val="000000"/>
                <w:sz w:val="28"/>
                <w:szCs w:val="28"/>
              </w:rPr>
              <w:t>之公司戶貸款</w:t>
            </w:r>
            <w:r w:rsidRPr="00CD28E6">
              <w:rPr>
                <w:rFonts w:ascii="標楷體" w:eastAsia="標楷體" w:hAnsi="標楷體"/>
                <w:b/>
                <w:color w:val="000000"/>
                <w:sz w:val="28"/>
                <w:szCs w:val="28"/>
              </w:rPr>
              <w:t>，誤適用風險權數75%之零售債權，應調整為風險權數100%之企業債權。</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3.</w:t>
            </w:r>
            <w:r w:rsidRPr="00CD28E6">
              <w:rPr>
                <w:rFonts w:ascii="標楷體" w:eastAsia="標楷體" w:hAnsi="標楷體"/>
                <w:b/>
                <w:color w:val="000000"/>
                <w:sz w:val="28"/>
                <w:szCs w:val="28"/>
              </w:rPr>
              <w:t>表外</w:t>
            </w:r>
            <w:r w:rsidRPr="00CD28E6">
              <w:rPr>
                <w:rFonts w:ascii="標楷體" w:eastAsia="標楷體" w:hAnsi="標楷體"/>
                <w:b/>
                <w:sz w:val="28"/>
                <w:szCs w:val="28"/>
              </w:rPr>
              <w:t>項目信用</w:t>
            </w:r>
            <w:r w:rsidRPr="00CD28E6">
              <w:rPr>
                <w:rFonts w:ascii="標楷體" w:eastAsia="標楷體" w:hAnsi="標楷體"/>
                <w:b/>
                <w:color w:val="000000"/>
                <w:sz w:val="28"/>
                <w:szCs w:val="28"/>
              </w:rPr>
              <w:t>風險加權風險性資產</w:t>
            </w:r>
            <w:r w:rsidRPr="00CD28E6">
              <w:rPr>
                <w:rFonts w:ascii="標楷體" w:eastAsia="標楷體" w:hAnsi="標楷體" w:hint="eastAsia"/>
                <w:b/>
                <w:sz w:val="28"/>
                <w:szCs w:val="28"/>
              </w:rPr>
              <w:t>申報錯誤</w:t>
            </w:r>
            <w:r w:rsidRPr="00CD28E6">
              <w:rPr>
                <w:rFonts w:ascii="標楷體" w:eastAsia="標楷體" w:hAnsi="標楷體"/>
                <w:b/>
                <w:color w:val="000000"/>
                <w:sz w:val="28"/>
                <w:szCs w:val="28"/>
              </w:rPr>
              <w:t>：</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1</w:t>
            </w:r>
            <w:r w:rsidRPr="00CD28E6">
              <w:rPr>
                <w:rFonts w:ascii="標楷體" w:eastAsia="標楷體" w:hAnsi="標楷體" w:hint="eastAsia"/>
                <w:b/>
                <w:color w:val="000000"/>
                <w:sz w:val="28"/>
                <w:szCs w:val="28"/>
              </w:rPr>
              <w:t>)對部分公司</w:t>
            </w:r>
            <w:r w:rsidRPr="00CD28E6">
              <w:rPr>
                <w:rFonts w:ascii="標楷體" w:eastAsia="標楷體" w:hAnsi="標楷體"/>
                <w:b/>
                <w:color w:val="000000"/>
                <w:sz w:val="28"/>
                <w:szCs w:val="28"/>
              </w:rPr>
              <w:t>戶之應收保證款項，誤適用20%之信用轉換係數，應適用50%之信用轉換係數。</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2</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申報「表外項目-一般表外交易之信用相當額計算表」(表2-D1)之信用相當額，誤以「(</w:t>
            </w:r>
            <w:proofErr w:type="gramStart"/>
            <w:r w:rsidRPr="00CD28E6">
              <w:rPr>
                <w:rFonts w:ascii="標楷體" w:eastAsia="標楷體" w:hAnsi="標楷體"/>
                <w:b/>
                <w:color w:val="000000"/>
                <w:sz w:val="28"/>
                <w:szCs w:val="28"/>
              </w:rPr>
              <w:t>帳面</w:t>
            </w:r>
            <w:proofErr w:type="gramEnd"/>
            <w:r w:rsidRPr="00CD28E6">
              <w:rPr>
                <w:rFonts w:ascii="標楷體" w:eastAsia="標楷體" w:hAnsi="標楷體"/>
                <w:b/>
                <w:color w:val="000000"/>
                <w:sz w:val="28"/>
                <w:szCs w:val="28"/>
              </w:rPr>
              <w:t>金額*信用風險轉換係數)-備抵呆帳」計算，與「(</w:t>
            </w:r>
            <w:proofErr w:type="gramStart"/>
            <w:r w:rsidRPr="00CD28E6">
              <w:rPr>
                <w:rFonts w:ascii="標楷體" w:eastAsia="標楷體" w:hAnsi="標楷體"/>
                <w:b/>
                <w:color w:val="000000"/>
                <w:sz w:val="28"/>
                <w:szCs w:val="28"/>
              </w:rPr>
              <w:t>帳面</w:t>
            </w:r>
            <w:proofErr w:type="gramEnd"/>
            <w:r w:rsidRPr="00CD28E6">
              <w:rPr>
                <w:rFonts w:ascii="標楷體" w:eastAsia="標楷體" w:hAnsi="標楷體"/>
                <w:b/>
                <w:color w:val="000000"/>
                <w:sz w:val="28"/>
                <w:szCs w:val="28"/>
              </w:rPr>
              <w:t>金額-備抵呆帳)*信用風險轉換係數」之計算規定不符。</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3</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申報「表內項目-表內交易之信用風險加權風險性資產額計算表」(表2-C)及「表外項目-一般表外交易之信用相當額計算表」(表2-D1)中之備抵呆帳，超逾預期信用損失。</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4.</w:t>
            </w:r>
            <w:r w:rsidRPr="00CD28E6">
              <w:rPr>
                <w:rFonts w:ascii="標楷體" w:eastAsia="標楷體" w:hAnsi="標楷體"/>
                <w:b/>
                <w:color w:val="000000"/>
                <w:sz w:val="28"/>
                <w:szCs w:val="28"/>
              </w:rPr>
              <w:t>有價證券融資交易(RP及RS)對手信用風險性資產</w:t>
            </w:r>
            <w:r w:rsidRPr="00CD28E6">
              <w:rPr>
                <w:rFonts w:ascii="標楷體" w:eastAsia="標楷體" w:hAnsi="標楷體" w:hint="eastAsia"/>
                <w:b/>
                <w:color w:val="000000"/>
                <w:sz w:val="28"/>
                <w:szCs w:val="28"/>
              </w:rPr>
              <w:t>申報錯誤：</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(1)</w:t>
            </w:r>
            <w:r w:rsidRPr="00CD28E6">
              <w:rPr>
                <w:rFonts w:ascii="標楷體" w:eastAsia="標楷體" w:hAnsi="標楷體"/>
                <w:b/>
                <w:color w:val="000000"/>
                <w:sz w:val="28"/>
                <w:szCs w:val="28"/>
              </w:rPr>
              <w:t>未依政府公債、公司債、金融債及其剩餘期限適用不</w:t>
            </w:r>
            <w:r w:rsidRPr="00CD28E6">
              <w:rPr>
                <w:rFonts w:ascii="標楷體" w:eastAsia="標楷體" w:hAnsi="標楷體"/>
                <w:b/>
                <w:color w:val="000000"/>
                <w:sz w:val="28"/>
                <w:szCs w:val="28"/>
              </w:rPr>
              <w:lastRenderedPageBreak/>
              <w:t>同法定折扣比率(均設定為2%)。</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(2)</w:t>
            </w:r>
            <w:proofErr w:type="gramStart"/>
            <w:r w:rsidRPr="00CD28E6">
              <w:rPr>
                <w:rFonts w:ascii="標楷體" w:eastAsia="標楷體" w:hAnsi="標楷體"/>
                <w:b/>
                <w:color w:val="000000"/>
                <w:sz w:val="28"/>
                <w:szCs w:val="28"/>
              </w:rPr>
              <w:t>對暴險部位</w:t>
            </w:r>
            <w:proofErr w:type="gramEnd"/>
            <w:r w:rsidRPr="00CD28E6">
              <w:rPr>
                <w:rFonts w:ascii="標楷體" w:eastAsia="標楷體" w:hAnsi="標楷體"/>
                <w:b/>
                <w:color w:val="000000"/>
                <w:sz w:val="28"/>
                <w:szCs w:val="28"/>
              </w:rPr>
              <w:t>(RS)之現值，誤以擔保品市價*(1-折扣比率)計算</w:t>
            </w:r>
            <w:r w:rsidRPr="00CD28E6">
              <w:rPr>
                <w:rFonts w:ascii="標楷體" w:eastAsia="標楷體" w:hAnsi="標楷體" w:hint="eastAsia"/>
                <w:b/>
                <w:color w:val="000000"/>
                <w:sz w:val="28"/>
                <w:szCs w:val="28"/>
              </w:rPr>
              <w:t>，未以期末履約值之折現值計算</w:t>
            </w:r>
            <w:r w:rsidRPr="00CD28E6">
              <w:rPr>
                <w:rFonts w:ascii="標楷體" w:eastAsia="標楷體" w:hAnsi="標楷體"/>
                <w:b/>
                <w:color w:val="000000"/>
                <w:sz w:val="28"/>
                <w:szCs w:val="28"/>
              </w:rPr>
              <w:t>。</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(3)</w:t>
            </w:r>
            <w:r w:rsidRPr="00CD28E6">
              <w:rPr>
                <w:rFonts w:ascii="標楷體" w:eastAsia="標楷體" w:hAnsi="標楷體"/>
                <w:b/>
                <w:color w:val="000000"/>
                <w:sz w:val="28"/>
                <w:szCs w:val="28"/>
              </w:rPr>
              <w:t>對</w:t>
            </w:r>
            <w:proofErr w:type="gramStart"/>
            <w:r w:rsidRPr="00CD28E6">
              <w:rPr>
                <w:rFonts w:ascii="標楷體" w:eastAsia="標楷體" w:hAnsi="標楷體"/>
                <w:b/>
                <w:color w:val="000000"/>
                <w:sz w:val="28"/>
                <w:szCs w:val="28"/>
              </w:rPr>
              <w:t>擔保品現值</w:t>
            </w:r>
            <w:proofErr w:type="gramEnd"/>
            <w:r w:rsidRPr="00CD28E6">
              <w:rPr>
                <w:rFonts w:ascii="標楷體" w:eastAsia="標楷體" w:hAnsi="標楷體"/>
                <w:b/>
                <w:color w:val="000000"/>
                <w:sz w:val="28"/>
                <w:szCs w:val="28"/>
              </w:rPr>
              <w:t>(RP)之折現因子利率誤以0%計算，應以有效利率計算</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剩餘期限誤以到期日減交易日計算，應以到期日減申報基準日計算。</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5.</w:t>
            </w:r>
            <w:r w:rsidRPr="00CD28E6">
              <w:rPr>
                <w:rFonts w:ascii="標楷體" w:eastAsia="標楷體" w:hAnsi="標楷體"/>
                <w:b/>
                <w:color w:val="000000"/>
                <w:sz w:val="28"/>
                <w:szCs w:val="28"/>
              </w:rPr>
              <w:t>店頭市場(OTC)衍生性商品交易對手信用風險性資產</w:t>
            </w:r>
            <w:r w:rsidRPr="00CD28E6">
              <w:rPr>
                <w:rFonts w:ascii="標楷體" w:eastAsia="標楷體" w:hAnsi="標楷體" w:hint="eastAsia"/>
                <w:b/>
                <w:color w:val="000000"/>
                <w:sz w:val="28"/>
                <w:szCs w:val="28"/>
              </w:rPr>
              <w:t>及</w:t>
            </w:r>
            <w:r w:rsidRPr="00CD28E6">
              <w:rPr>
                <w:rFonts w:ascii="標楷體" w:eastAsia="標楷體" w:hAnsi="標楷體"/>
                <w:b/>
                <w:color w:val="000000"/>
                <w:sz w:val="28"/>
                <w:szCs w:val="28"/>
              </w:rPr>
              <w:t>信用評價調整風險(CVA)</w:t>
            </w:r>
            <w:proofErr w:type="gramStart"/>
            <w:r w:rsidRPr="00CD28E6">
              <w:rPr>
                <w:rFonts w:ascii="標楷體" w:eastAsia="標楷體" w:hAnsi="標楷體" w:hint="eastAsia"/>
                <w:b/>
                <w:color w:val="000000"/>
                <w:sz w:val="28"/>
                <w:szCs w:val="28"/>
              </w:rPr>
              <w:t>均</w:t>
            </w:r>
            <w:r w:rsidRPr="00CD28E6">
              <w:rPr>
                <w:rFonts w:ascii="標楷體" w:eastAsia="標楷體" w:hAnsi="標楷體"/>
                <w:b/>
                <w:color w:val="000000"/>
                <w:sz w:val="28"/>
                <w:szCs w:val="28"/>
              </w:rPr>
              <w:t>多列</w:t>
            </w:r>
            <w:proofErr w:type="gramEnd"/>
            <w:r w:rsidRPr="00CD28E6">
              <w:rPr>
                <w:rFonts w:ascii="標楷體" w:eastAsia="標楷體" w:hAnsi="標楷體"/>
                <w:b/>
                <w:color w:val="000000"/>
                <w:sz w:val="28"/>
                <w:szCs w:val="28"/>
              </w:rPr>
              <w:t>，係誤將區間</w:t>
            </w:r>
            <w:proofErr w:type="gramStart"/>
            <w:r w:rsidRPr="00CD28E6">
              <w:rPr>
                <w:rFonts w:ascii="標楷體" w:eastAsia="標楷體" w:hAnsi="標楷體"/>
                <w:b/>
                <w:color w:val="000000"/>
                <w:sz w:val="28"/>
                <w:szCs w:val="28"/>
              </w:rPr>
              <w:t>計息保本</w:t>
            </w:r>
            <w:proofErr w:type="gramEnd"/>
            <w:r w:rsidRPr="00CD28E6">
              <w:rPr>
                <w:rFonts w:ascii="標楷體" w:eastAsia="標楷體" w:hAnsi="標楷體"/>
                <w:b/>
                <w:color w:val="000000"/>
                <w:sz w:val="28"/>
                <w:szCs w:val="28"/>
              </w:rPr>
              <w:t>型結構型商品</w:t>
            </w:r>
            <w:r w:rsidRPr="00CD28E6">
              <w:rPr>
                <w:rFonts w:ascii="標楷體" w:eastAsia="標楷體" w:hAnsi="標楷體" w:hint="eastAsia"/>
                <w:b/>
                <w:color w:val="000000"/>
                <w:sz w:val="28"/>
                <w:szCs w:val="28"/>
              </w:rPr>
              <w:t>市價</w:t>
            </w:r>
            <w:r w:rsidRPr="00CD28E6">
              <w:rPr>
                <w:rFonts w:ascii="標楷體" w:eastAsia="標楷體" w:hAnsi="標楷體"/>
                <w:b/>
                <w:color w:val="000000"/>
                <w:sz w:val="28"/>
                <w:szCs w:val="28"/>
              </w:rPr>
              <w:t>列入</w:t>
            </w:r>
            <w:r w:rsidRPr="00CD28E6">
              <w:rPr>
                <w:rFonts w:ascii="標楷體" w:eastAsia="標楷體" w:hAnsi="標楷體" w:hint="eastAsia"/>
                <w:b/>
                <w:color w:val="000000"/>
                <w:sz w:val="28"/>
                <w:szCs w:val="28"/>
              </w:rPr>
              <w:t>計算</w:t>
            </w:r>
            <w:r w:rsidRPr="00CD28E6">
              <w:rPr>
                <w:rFonts w:ascii="標楷體" w:eastAsia="標楷體" w:hAnsi="標楷體"/>
                <w:b/>
                <w:color w:val="000000"/>
                <w:sz w:val="28"/>
                <w:szCs w:val="28"/>
              </w:rPr>
              <w:t>，</w:t>
            </w:r>
            <w:r w:rsidRPr="00CD28E6">
              <w:rPr>
                <w:rFonts w:ascii="標楷體" w:eastAsia="標楷體" w:hAnsi="標楷體" w:hint="eastAsia"/>
                <w:b/>
                <w:color w:val="000000"/>
                <w:sz w:val="28"/>
                <w:szCs w:val="28"/>
              </w:rPr>
              <w:t>應改以契約中之利率</w:t>
            </w:r>
            <w:r w:rsidRPr="00CD28E6">
              <w:rPr>
                <w:rFonts w:ascii="標楷體" w:eastAsia="標楷體" w:hAnsi="標楷體"/>
                <w:b/>
                <w:color w:val="000000"/>
                <w:sz w:val="28"/>
                <w:szCs w:val="28"/>
              </w:rPr>
              <w:t>選擇權計算。</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sz w:val="28"/>
                <w:szCs w:val="28"/>
              </w:rPr>
            </w:pPr>
            <w:r w:rsidRPr="00CD28E6">
              <w:rPr>
                <w:rFonts w:ascii="標楷體" w:eastAsia="標楷體" w:hAnsi="標楷體" w:hint="eastAsia"/>
                <w:b/>
                <w:sz w:val="28"/>
                <w:szCs w:val="28"/>
              </w:rPr>
              <w:t>6.</w:t>
            </w:r>
            <w:r w:rsidRPr="00CD28E6">
              <w:rPr>
                <w:rFonts w:ascii="標楷體" w:eastAsia="標楷體" w:hAnsi="標楷體"/>
                <w:b/>
                <w:sz w:val="28"/>
                <w:szCs w:val="28"/>
              </w:rPr>
              <w:t>作業風險</w:t>
            </w:r>
            <w:r w:rsidRPr="00CD28E6">
              <w:rPr>
                <w:rFonts w:ascii="標楷體" w:eastAsia="標楷體" w:hAnsi="標楷體" w:hint="eastAsia"/>
                <w:b/>
                <w:sz w:val="28"/>
                <w:szCs w:val="28"/>
              </w:rPr>
              <w:t>應計提資本申報錯誤</w:t>
            </w:r>
            <w:r w:rsidRPr="00CD28E6">
              <w:rPr>
                <w:rFonts w:ascii="標楷體" w:eastAsia="標楷體" w:hAnsi="標楷體"/>
                <w:b/>
                <w:sz w:val="28"/>
                <w:szCs w:val="28"/>
              </w:rPr>
              <w:t>：</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(1)</w:t>
            </w:r>
            <w:r w:rsidRPr="00CD28E6">
              <w:rPr>
                <w:rFonts w:ascii="標楷體" w:eastAsia="標楷體" w:hAnsi="標楷體"/>
                <w:b/>
                <w:color w:val="000000"/>
                <w:sz w:val="28"/>
                <w:szCs w:val="28"/>
              </w:rPr>
              <w:t>營業毛利歸入八大業務別有誤，致風險係數(β值)適用錯誤，</w:t>
            </w:r>
            <w:r w:rsidRPr="00CD28E6">
              <w:rPr>
                <w:rFonts w:ascii="標楷體" w:eastAsia="標楷體" w:hAnsi="標楷體" w:hint="eastAsia"/>
                <w:b/>
                <w:color w:val="000000"/>
                <w:sz w:val="28"/>
                <w:szCs w:val="28"/>
              </w:rPr>
              <w:t>如：</w:t>
            </w:r>
            <w:r w:rsidRPr="00CD28E6">
              <w:rPr>
                <w:rFonts w:ascii="標楷體" w:eastAsia="標楷體" w:hAnsi="標楷體"/>
                <w:b/>
                <w:color w:val="000000"/>
                <w:sz w:val="28"/>
                <w:szCs w:val="28"/>
              </w:rPr>
              <w:t>保險等代理業務之手續費或佣金收益(β值15%)</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跨行手續費等收付清算業務收支(β值18%)</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屬企業財務規劃與融資業務之聯貸管理費收入(β值18%)、屬企業金融業務之有價證券交易手續費用及押金設算利息收入(β值15%)</w:t>
            </w:r>
            <w:r w:rsidRPr="00CD28E6">
              <w:rPr>
                <w:rFonts w:ascii="標楷體" w:eastAsia="標楷體" w:hAnsi="標楷體" w:hint="eastAsia"/>
                <w:b/>
                <w:color w:val="000000"/>
                <w:sz w:val="28"/>
                <w:szCs w:val="28"/>
              </w:rPr>
              <w:t>。</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(2)營業毛利計算錯誤，如：誤</w:t>
            </w:r>
            <w:r w:rsidRPr="00CD28E6">
              <w:rPr>
                <w:rFonts w:ascii="標楷體" w:eastAsia="標楷體" w:hAnsi="標楷體"/>
                <w:b/>
                <w:color w:val="000000"/>
                <w:sz w:val="28"/>
                <w:szCs w:val="28"/>
              </w:rPr>
              <w:t>將迴轉</w:t>
            </w:r>
            <w:proofErr w:type="gramStart"/>
            <w:r w:rsidRPr="00CD28E6">
              <w:rPr>
                <w:rFonts w:ascii="標楷體" w:eastAsia="標楷體" w:hAnsi="標楷體"/>
                <w:b/>
                <w:color w:val="000000"/>
                <w:sz w:val="28"/>
                <w:szCs w:val="28"/>
              </w:rPr>
              <w:t>連動債及</w:t>
            </w:r>
            <w:proofErr w:type="gramEnd"/>
            <w:r w:rsidRPr="00CD28E6">
              <w:rPr>
                <w:rFonts w:ascii="標楷體" w:eastAsia="標楷體" w:hAnsi="標楷體"/>
                <w:b/>
                <w:color w:val="000000"/>
                <w:sz w:val="28"/>
                <w:szCs w:val="28"/>
              </w:rPr>
              <w:t>金融消費爭議賠償準備、火險理賠款等特殊或異常項目收益計入營業毛利，</w:t>
            </w:r>
            <w:r w:rsidRPr="00CD28E6">
              <w:rPr>
                <w:rFonts w:ascii="標楷體" w:eastAsia="標楷體" w:hAnsi="標楷體" w:hint="eastAsia"/>
                <w:b/>
                <w:color w:val="000000"/>
                <w:sz w:val="28"/>
                <w:szCs w:val="28"/>
              </w:rPr>
              <w:t>及誤將</w:t>
            </w:r>
            <w:r w:rsidRPr="00CD28E6">
              <w:rPr>
                <w:rFonts w:ascii="標楷體" w:eastAsia="標楷體" w:hAnsi="標楷體"/>
                <w:b/>
                <w:color w:val="000000"/>
                <w:sz w:val="28"/>
                <w:szCs w:val="28"/>
              </w:rPr>
              <w:t>委外費用</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交通罰鍰自營業毛利扣除。</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sz w:val="28"/>
                <w:szCs w:val="28"/>
              </w:rPr>
            </w:pPr>
            <w:r w:rsidRPr="00CD28E6">
              <w:rPr>
                <w:rFonts w:ascii="標楷體" w:eastAsia="標楷體" w:hAnsi="標楷體" w:hint="eastAsia"/>
                <w:b/>
                <w:color w:val="000000"/>
                <w:sz w:val="28"/>
                <w:szCs w:val="28"/>
              </w:rPr>
              <w:t>7.</w:t>
            </w:r>
            <w:r w:rsidRPr="00CD28E6">
              <w:rPr>
                <w:rFonts w:ascii="標楷體" w:eastAsia="標楷體" w:hAnsi="標楷體"/>
                <w:b/>
                <w:sz w:val="28"/>
                <w:szCs w:val="28"/>
              </w:rPr>
              <w:t>市場風險</w:t>
            </w:r>
            <w:r w:rsidRPr="00CD28E6">
              <w:rPr>
                <w:rFonts w:ascii="標楷體" w:eastAsia="標楷體" w:hAnsi="標楷體" w:hint="eastAsia"/>
                <w:b/>
                <w:sz w:val="28"/>
                <w:szCs w:val="28"/>
              </w:rPr>
              <w:t>應計提資本申報錯誤</w:t>
            </w:r>
            <w:r w:rsidRPr="00CD28E6">
              <w:rPr>
                <w:rFonts w:ascii="標楷體" w:eastAsia="標楷體" w:hAnsi="標楷體"/>
                <w:b/>
                <w:sz w:val="28"/>
                <w:szCs w:val="28"/>
              </w:rPr>
              <w:t>：</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1</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誤將已賣出選擇權之持有可轉換公司債資產交換，以轉換市值列入權益證券風險計算，應改以已賣出選擇權之持有可轉換公司債資產交換市價列入利率風險個別風險及一般市場風險計算。</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2</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計算利率風險個別風險及一般市場風險時，誤將已賣</w:t>
            </w:r>
            <w:r w:rsidRPr="00CD28E6">
              <w:rPr>
                <w:rFonts w:ascii="標楷體" w:eastAsia="標楷體" w:hAnsi="標楷體"/>
                <w:b/>
                <w:color w:val="000000"/>
                <w:sz w:val="28"/>
                <w:szCs w:val="28"/>
              </w:rPr>
              <w:lastRenderedPageBreak/>
              <w:t>出選擇權之持有可轉換公司債資產交換，以可轉換公司債市價計算，未以已賣出選擇權之持有可轉換公司債資產交換市價計算。</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3</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誤將已賣出選擇權之持有可轉換公司債資產交換，以可轉換公司債市價列入利率選擇權風險計算。</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4</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誤將屬於債權性質之不可轉換特別股列入權益證券風險計算，應改列入利率風險個別風險及一般市場風險計算。</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5</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漏未將區間</w:t>
            </w:r>
            <w:proofErr w:type="gramStart"/>
            <w:r w:rsidRPr="00CD28E6">
              <w:rPr>
                <w:rFonts w:ascii="標楷體" w:eastAsia="標楷體" w:hAnsi="標楷體"/>
                <w:b/>
                <w:color w:val="000000"/>
                <w:sz w:val="28"/>
                <w:szCs w:val="28"/>
              </w:rPr>
              <w:t>計息保本</w:t>
            </w:r>
            <w:proofErr w:type="gramEnd"/>
            <w:r w:rsidRPr="00CD28E6">
              <w:rPr>
                <w:rFonts w:ascii="標楷體" w:eastAsia="標楷體" w:hAnsi="標楷體"/>
                <w:b/>
                <w:color w:val="000000"/>
                <w:sz w:val="28"/>
                <w:szCs w:val="28"/>
              </w:rPr>
              <w:t>型結構型商品列入利率風險個別風險及</w:t>
            </w:r>
            <w:r w:rsidRPr="00CD28E6">
              <w:rPr>
                <w:rFonts w:ascii="標楷體" w:eastAsia="標楷體" w:hAnsi="標楷體" w:hint="eastAsia"/>
                <w:b/>
                <w:color w:val="000000"/>
                <w:sz w:val="28"/>
                <w:szCs w:val="28"/>
              </w:rPr>
              <w:t>其契約中之選擇權列入</w:t>
            </w:r>
            <w:r w:rsidRPr="00CD28E6">
              <w:rPr>
                <w:rFonts w:ascii="標楷體" w:eastAsia="標楷體" w:hAnsi="標楷體"/>
                <w:b/>
                <w:color w:val="000000"/>
                <w:sz w:val="28"/>
                <w:szCs w:val="28"/>
              </w:rPr>
              <w:t>利率選擇權風險計算。</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6</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漏未將美元附買回條件(RP)交易所持有之標的債務工具列入利率風險個別風險及一般市場風險計算。</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7</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漏未將英鎊遠</w:t>
            </w:r>
            <w:proofErr w:type="gramStart"/>
            <w:r w:rsidRPr="00CD28E6">
              <w:rPr>
                <w:rFonts w:ascii="標楷體" w:eastAsia="標楷體" w:hAnsi="標楷體"/>
                <w:b/>
                <w:color w:val="000000"/>
                <w:sz w:val="28"/>
                <w:szCs w:val="28"/>
              </w:rPr>
              <w:t>匯</w:t>
            </w:r>
            <w:proofErr w:type="gramEnd"/>
            <w:r w:rsidRPr="00CD28E6">
              <w:rPr>
                <w:rFonts w:ascii="標楷體" w:eastAsia="標楷體" w:hAnsi="標楷體"/>
                <w:b/>
                <w:color w:val="000000"/>
                <w:sz w:val="28"/>
                <w:szCs w:val="28"/>
              </w:rPr>
              <w:t>交易短部位列入利率風險一般市場風險計算。</w:t>
            </w:r>
          </w:p>
          <w:p w:rsidR="00CD28E6" w:rsidRPr="00CD28E6" w:rsidRDefault="00CD28E6" w:rsidP="00CD28E6">
            <w:pPr>
              <w:pStyle w:val="a4"/>
              <w:tabs>
                <w:tab w:val="clear" w:pos="4153"/>
                <w:tab w:val="clear" w:pos="8306"/>
              </w:tabs>
              <w:spacing w:line="500" w:lineRule="exact"/>
              <w:ind w:leftChars="588" w:left="1831" w:hangingChars="150" w:hanging="420"/>
              <w:jc w:val="both"/>
              <w:rPr>
                <w:rFonts w:ascii="標楷體" w:eastAsia="標楷體" w:hAnsi="標楷體"/>
                <w:b/>
                <w:color w:val="000000"/>
                <w:sz w:val="28"/>
                <w:szCs w:val="28"/>
              </w:rPr>
            </w:pP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8</w:t>
            </w:r>
            <w:r w:rsidRPr="00CD28E6">
              <w:rPr>
                <w:rFonts w:ascii="標楷體" w:eastAsia="標楷體" w:hAnsi="標楷體" w:hint="eastAsia"/>
                <w:b/>
                <w:color w:val="000000"/>
                <w:sz w:val="28"/>
                <w:szCs w:val="28"/>
              </w:rPr>
              <w:t>)</w:t>
            </w:r>
            <w:r w:rsidRPr="00CD28E6">
              <w:rPr>
                <w:rFonts w:ascii="標楷體" w:eastAsia="標楷體" w:hAnsi="標楷體"/>
                <w:b/>
                <w:color w:val="000000"/>
                <w:sz w:val="28"/>
                <w:szCs w:val="28"/>
              </w:rPr>
              <w:t>漏未將</w:t>
            </w:r>
            <w:r w:rsidRPr="00CD28E6">
              <w:rPr>
                <w:rFonts w:ascii="標楷體" w:eastAsia="標楷體" w:hAnsi="標楷體" w:hint="eastAsia"/>
                <w:b/>
                <w:color w:val="000000"/>
                <w:sz w:val="28"/>
                <w:szCs w:val="28"/>
              </w:rPr>
              <w:t>新</w:t>
            </w:r>
            <w:r w:rsidRPr="00CD28E6">
              <w:rPr>
                <w:rFonts w:ascii="標楷體" w:eastAsia="標楷體" w:hAnsi="標楷體"/>
                <w:b/>
                <w:color w:val="000000"/>
                <w:sz w:val="28"/>
                <w:szCs w:val="28"/>
              </w:rPr>
              <w:t>台幣地方債券列入利率風險一般市場風險長部位計算。</w:t>
            </w:r>
          </w:p>
          <w:p w:rsidR="00CD28E6" w:rsidRPr="00CD28E6" w:rsidRDefault="00CD28E6" w:rsidP="00CD28E6">
            <w:pPr>
              <w:pStyle w:val="a4"/>
              <w:tabs>
                <w:tab w:val="clear" w:pos="4153"/>
                <w:tab w:val="clear" w:pos="8306"/>
              </w:tabs>
              <w:spacing w:line="500" w:lineRule="exact"/>
              <w:ind w:leftChars="469" w:left="1406" w:hangingChars="100" w:hanging="280"/>
              <w:jc w:val="both"/>
              <w:rPr>
                <w:rFonts w:ascii="標楷體" w:eastAsia="標楷體" w:hAnsi="標楷體"/>
                <w:b/>
                <w:sz w:val="28"/>
                <w:szCs w:val="28"/>
              </w:rPr>
            </w:pPr>
            <w:r w:rsidRPr="00CD28E6">
              <w:rPr>
                <w:rFonts w:ascii="標楷體" w:eastAsia="標楷體" w:hAnsi="標楷體" w:hint="eastAsia"/>
                <w:b/>
                <w:sz w:val="28"/>
                <w:szCs w:val="28"/>
              </w:rPr>
              <w:t>8.</w:t>
            </w:r>
            <w:r w:rsidRPr="00CD28E6">
              <w:rPr>
                <w:rFonts w:ascii="標楷體" w:eastAsia="標楷體" w:hAnsi="標楷體"/>
                <w:b/>
                <w:sz w:val="28"/>
                <w:szCs w:val="28"/>
              </w:rPr>
              <w:t>尚未有明確且完整應列入法定資本計提之交易</w:t>
            </w:r>
            <w:proofErr w:type="gramStart"/>
            <w:r w:rsidRPr="00CD28E6">
              <w:rPr>
                <w:rFonts w:ascii="標楷體" w:eastAsia="標楷體" w:hAnsi="標楷體"/>
                <w:b/>
                <w:sz w:val="28"/>
                <w:szCs w:val="28"/>
              </w:rPr>
              <w:t>簿</w:t>
            </w:r>
            <w:proofErr w:type="gramEnd"/>
            <w:r w:rsidRPr="00CD28E6">
              <w:rPr>
                <w:rFonts w:ascii="標楷體" w:eastAsia="標楷體" w:hAnsi="標楷體"/>
                <w:b/>
                <w:sz w:val="28"/>
                <w:szCs w:val="28"/>
              </w:rPr>
              <w:t>部位之業務內容書面規範，以決定在計提資本時，應納入或排除於交易</w:t>
            </w:r>
            <w:proofErr w:type="gramStart"/>
            <w:r w:rsidRPr="00CD28E6">
              <w:rPr>
                <w:rFonts w:ascii="標楷體" w:eastAsia="標楷體" w:hAnsi="標楷體"/>
                <w:b/>
                <w:sz w:val="28"/>
                <w:szCs w:val="28"/>
              </w:rPr>
              <w:t>簿</w:t>
            </w:r>
            <w:proofErr w:type="gramEnd"/>
            <w:r w:rsidRPr="00CD28E6">
              <w:rPr>
                <w:rFonts w:ascii="標楷體" w:eastAsia="標楷體" w:hAnsi="標楷體"/>
                <w:b/>
                <w:sz w:val="28"/>
                <w:szCs w:val="28"/>
              </w:rPr>
              <w:t>部位之範圍。</w:t>
            </w:r>
          </w:p>
          <w:p w:rsidR="00225B93" w:rsidRDefault="00CD28E6" w:rsidP="00CD28E6">
            <w:pPr>
              <w:adjustRightInd w:val="0"/>
              <w:spacing w:line="460" w:lineRule="exact"/>
              <w:ind w:leftChars="469" w:left="1406" w:hangingChars="100" w:hanging="280"/>
              <w:jc w:val="left"/>
              <w:rPr>
                <w:rFonts w:ascii="標楷體" w:eastAsia="標楷體" w:hAnsi="標楷體"/>
                <w:b/>
                <w:sz w:val="28"/>
                <w:szCs w:val="28"/>
              </w:rPr>
            </w:pPr>
            <w:r w:rsidRPr="00CD28E6">
              <w:rPr>
                <w:rFonts w:ascii="標楷體" w:eastAsia="標楷體" w:hAnsi="標楷體" w:hint="eastAsia"/>
                <w:b/>
                <w:sz w:val="28"/>
                <w:szCs w:val="28"/>
              </w:rPr>
              <w:t>9.</w:t>
            </w:r>
            <w:r w:rsidRPr="00CD28E6">
              <w:rPr>
                <w:rFonts w:ascii="標楷體" w:eastAsia="標楷體" w:hAnsi="標楷體"/>
                <w:b/>
                <w:sz w:val="28"/>
                <w:szCs w:val="28"/>
              </w:rPr>
              <w:t>計算交易對手信用風險性資產及市場風險資本計提時，尚未</w:t>
            </w:r>
            <w:proofErr w:type="gramStart"/>
            <w:r w:rsidRPr="00CD28E6">
              <w:rPr>
                <w:rFonts w:ascii="標楷體" w:eastAsia="標楷體" w:hAnsi="標楷體"/>
                <w:b/>
                <w:sz w:val="28"/>
                <w:szCs w:val="28"/>
              </w:rPr>
              <w:t>建立跨表檢核</w:t>
            </w:r>
            <w:proofErr w:type="gramEnd"/>
            <w:r w:rsidRPr="00CD28E6">
              <w:rPr>
                <w:rFonts w:ascii="標楷體" w:eastAsia="標楷體" w:hAnsi="標楷體"/>
                <w:b/>
                <w:sz w:val="28"/>
                <w:szCs w:val="28"/>
              </w:rPr>
              <w:t>(如:AI201、AI601、AI705)及覆核機制，以維資料之正確性。</w:t>
            </w:r>
          </w:p>
          <w:p w:rsidR="00CD28E6" w:rsidRPr="00CD28E6" w:rsidRDefault="00CD28E6" w:rsidP="00CD28E6">
            <w:pPr>
              <w:adjustRightInd w:val="0"/>
              <w:spacing w:line="460" w:lineRule="exact"/>
              <w:ind w:leftChars="469" w:left="1406" w:hangingChars="100" w:hanging="280"/>
              <w:jc w:val="left"/>
              <w:rPr>
                <w:rFonts w:ascii="標楷體" w:eastAsia="標楷體" w:hAnsi="標楷體"/>
                <w:b/>
                <w:color w:val="000000"/>
                <w:sz w:val="28"/>
                <w:szCs w:val="28"/>
              </w:rPr>
            </w:pPr>
          </w:p>
        </w:tc>
      </w:tr>
    </w:tbl>
    <w:p w:rsidR="00431CC5" w:rsidRPr="000B4FBB" w:rsidRDefault="00431CC5" w:rsidP="00225B93">
      <w:pPr>
        <w:spacing w:line="460" w:lineRule="exact"/>
        <w:ind w:left="1276" w:hanging="1134"/>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b/>
          <w:color w:val="000000" w:themeColor="text1"/>
          <w:sz w:val="28"/>
          <w:szCs w:val="28"/>
        </w:rPr>
        <w:lastRenderedPageBreak/>
        <w:t>改善作法：</w:t>
      </w:r>
    </w:p>
    <w:p w:rsidR="002E76EF" w:rsidRPr="002E76EF" w:rsidRDefault="004E67EB" w:rsidP="002E76EF">
      <w:pPr>
        <w:pStyle w:val="a3"/>
        <w:numPr>
          <w:ilvl w:val="0"/>
          <w:numId w:val="16"/>
        </w:numPr>
        <w:spacing w:line="460" w:lineRule="exact"/>
        <w:ind w:leftChars="0" w:left="426" w:hanging="284"/>
        <w:jc w:val="both"/>
        <w:rPr>
          <w:rFonts w:ascii="標楷體" w:eastAsia="標楷體" w:hAnsi="標楷體" w:cs="Times New Roman"/>
          <w:color w:val="000000" w:themeColor="text1"/>
          <w:sz w:val="28"/>
          <w:szCs w:val="28"/>
        </w:rPr>
      </w:pPr>
      <w:r w:rsidRPr="002E76EF">
        <w:rPr>
          <w:rFonts w:ascii="標楷體" w:eastAsia="標楷體" w:hAnsi="標楷體" w:cs="Times New Roman" w:hint="eastAsia"/>
          <w:color w:val="000000" w:themeColor="text1"/>
          <w:sz w:val="28"/>
          <w:szCs w:val="28"/>
        </w:rPr>
        <w:t>參考法規：</w:t>
      </w:r>
    </w:p>
    <w:p w:rsidR="004E67EB" w:rsidRPr="002E76EF" w:rsidRDefault="004E67EB" w:rsidP="002E76EF">
      <w:pPr>
        <w:spacing w:line="460" w:lineRule="exact"/>
        <w:ind w:left="426"/>
        <w:jc w:val="both"/>
        <w:rPr>
          <w:rFonts w:ascii="標楷體" w:eastAsia="標楷體" w:hAnsi="標楷體" w:cs="Times New Roman"/>
          <w:color w:val="000000" w:themeColor="text1"/>
          <w:sz w:val="28"/>
          <w:szCs w:val="28"/>
        </w:rPr>
      </w:pPr>
      <w:r w:rsidRPr="002E76EF">
        <w:rPr>
          <w:rFonts w:ascii="標楷體" w:eastAsia="標楷體" w:hAnsi="標楷體" w:cs="Times New Roman"/>
          <w:color w:val="000000" w:themeColor="text1"/>
          <w:sz w:val="28"/>
          <w:szCs w:val="28"/>
        </w:rPr>
        <w:t>銀行自有資本與風險性資產之計算方法說明及表格</w:t>
      </w:r>
      <w:r w:rsidRPr="002E76EF">
        <w:rPr>
          <w:rFonts w:ascii="標楷體" w:eastAsia="標楷體" w:hAnsi="標楷體" w:cs="Times New Roman" w:hint="eastAsia"/>
          <w:color w:val="000000" w:themeColor="text1"/>
          <w:sz w:val="28"/>
          <w:szCs w:val="28"/>
        </w:rPr>
        <w:t>。</w:t>
      </w:r>
    </w:p>
    <w:p w:rsidR="006F7003" w:rsidRPr="000B4FBB" w:rsidRDefault="004E67EB" w:rsidP="000B4FBB">
      <w:pPr>
        <w:spacing w:line="460" w:lineRule="exact"/>
        <w:ind w:left="284" w:hanging="14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2.</w:t>
      </w:r>
      <w:r w:rsidR="006F7003" w:rsidRPr="000B4FBB">
        <w:rPr>
          <w:rFonts w:ascii="標楷體" w:eastAsia="標楷體" w:hAnsi="標楷體" w:hint="eastAsia"/>
          <w:color w:val="000000" w:themeColor="text1"/>
          <w:sz w:val="28"/>
          <w:szCs w:val="28"/>
        </w:rPr>
        <w:t>訂定計算資本適足率作業程序。</w:t>
      </w:r>
    </w:p>
    <w:p w:rsidR="006F7003" w:rsidRPr="000B4FBB" w:rsidRDefault="006F7003" w:rsidP="000B4FBB">
      <w:pPr>
        <w:spacing w:line="460" w:lineRule="exact"/>
        <w:ind w:left="284" w:hanging="14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lastRenderedPageBreak/>
        <w:t>3.正確建檔並依規定填報及落實複核機制。</w:t>
      </w:r>
    </w:p>
    <w:p w:rsidR="004E67EB" w:rsidRPr="000B4FBB" w:rsidRDefault="006F7003" w:rsidP="000B4FBB">
      <w:pPr>
        <w:spacing w:line="460" w:lineRule="exact"/>
        <w:ind w:left="284" w:hanging="14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4</w:t>
      </w:r>
      <w:r w:rsidR="004E67EB" w:rsidRPr="000B4FBB">
        <w:rPr>
          <w:rFonts w:ascii="標楷體" w:eastAsia="標楷體" w:hAnsi="標楷體" w:cs="Times New Roman" w:hint="eastAsia"/>
          <w:color w:val="000000" w:themeColor="text1"/>
          <w:sz w:val="28"/>
          <w:szCs w:val="28"/>
        </w:rPr>
        <w:t>.內部稽核將申報資料正確性列為查核重點。</w:t>
      </w:r>
    </w:p>
    <w:p w:rsidR="00CF0D72" w:rsidRDefault="00CF0D72" w:rsidP="000B4FBB">
      <w:pPr>
        <w:spacing w:line="460" w:lineRule="exact"/>
        <w:ind w:left="1276" w:hanging="1276"/>
        <w:jc w:val="both"/>
        <w:rPr>
          <w:rFonts w:ascii="標楷體" w:eastAsia="標楷體" w:hAnsi="標楷體" w:cs="Times New Roman"/>
          <w:color w:val="000000" w:themeColor="text1"/>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91D69" w:rsidRPr="002F521B" w:rsidTr="003E6FAF">
        <w:trPr>
          <w:trHeight w:val="447"/>
        </w:trPr>
        <w:tc>
          <w:tcPr>
            <w:tcW w:w="8372" w:type="dxa"/>
          </w:tcPr>
          <w:p w:rsidR="00C91D69" w:rsidRPr="002F521B" w:rsidRDefault="00C91D69" w:rsidP="003E6FAF">
            <w:pPr>
              <w:spacing w:line="460" w:lineRule="exact"/>
              <w:ind w:left="1124" w:hanging="1132"/>
              <w:jc w:val="both"/>
              <w:rPr>
                <w:rFonts w:ascii="標楷體" w:eastAsia="標楷體" w:hAnsi="標楷體"/>
                <w:b/>
                <w:sz w:val="28"/>
                <w:szCs w:val="28"/>
              </w:rPr>
            </w:pPr>
            <w:r w:rsidRPr="002F521B">
              <w:rPr>
                <w:rFonts w:ascii="標楷體" w:eastAsia="標楷體" w:hAnsi="標楷體" w:hint="eastAsia"/>
                <w:b/>
                <w:sz w:val="28"/>
                <w:szCs w:val="28"/>
              </w:rPr>
              <w:t>態樣</w:t>
            </w:r>
            <w:proofErr w:type="gramStart"/>
            <w:r>
              <w:rPr>
                <w:rFonts w:ascii="標楷體" w:eastAsia="標楷體" w:hAnsi="標楷體" w:hint="eastAsia"/>
                <w:b/>
                <w:sz w:val="28"/>
                <w:szCs w:val="28"/>
              </w:rPr>
              <w:t>三</w:t>
            </w:r>
            <w:proofErr w:type="gramEnd"/>
            <w:r w:rsidRPr="002F521B">
              <w:rPr>
                <w:rFonts w:ascii="標楷體" w:eastAsia="標楷體" w:hAnsi="標楷體" w:hint="eastAsia"/>
                <w:b/>
                <w:sz w:val="28"/>
                <w:szCs w:val="28"/>
              </w:rPr>
              <w:t>：「管理能力風險調整申報表」中資訊安全項目，有下列缺失：</w:t>
            </w:r>
          </w:p>
          <w:p w:rsidR="00C91D69" w:rsidRPr="002F521B" w:rsidRDefault="00C91D69" w:rsidP="003E6FAF">
            <w:pPr>
              <w:spacing w:line="460" w:lineRule="exact"/>
              <w:ind w:left="1412" w:hanging="284"/>
              <w:jc w:val="both"/>
              <w:rPr>
                <w:rFonts w:ascii="標楷體" w:eastAsia="標楷體" w:hAnsi="標楷體"/>
                <w:b/>
                <w:sz w:val="28"/>
                <w:szCs w:val="28"/>
              </w:rPr>
            </w:pPr>
            <w:r w:rsidRPr="002F521B">
              <w:rPr>
                <w:rFonts w:ascii="標楷體" w:eastAsia="標楷體" w:hAnsi="標楷體" w:hint="eastAsia"/>
                <w:b/>
                <w:color w:val="000000" w:themeColor="text1"/>
                <w:sz w:val="28"/>
                <w:szCs w:val="28"/>
              </w:rPr>
              <w:t>1.</w:t>
            </w:r>
            <w:r w:rsidRPr="002F521B">
              <w:rPr>
                <w:rFonts w:ascii="標楷體" w:eastAsia="標楷體" w:hAnsi="標楷體" w:hint="eastAsia"/>
                <w:b/>
                <w:sz w:val="28"/>
                <w:szCs w:val="28"/>
              </w:rPr>
              <w:t>對行動應用app之安全檢測超逾1年未辦理，與「金融機構提供行動裝置應用程式作業規範」每年完成安全檢測之規定未符。</w:t>
            </w:r>
          </w:p>
          <w:p w:rsidR="00C91D69" w:rsidRPr="002F521B" w:rsidRDefault="00C91D69" w:rsidP="003E6FAF">
            <w:pPr>
              <w:spacing w:line="460" w:lineRule="exact"/>
              <w:ind w:left="1412" w:hanging="284"/>
              <w:jc w:val="both"/>
              <w:rPr>
                <w:rFonts w:ascii="標楷體" w:eastAsia="標楷體" w:hAnsi="標楷體"/>
                <w:b/>
                <w:sz w:val="28"/>
                <w:szCs w:val="28"/>
              </w:rPr>
            </w:pPr>
            <w:r w:rsidRPr="002F521B">
              <w:rPr>
                <w:rFonts w:ascii="標楷體" w:eastAsia="標楷體" w:hAnsi="標楷體" w:hint="eastAsia"/>
                <w:b/>
                <w:sz w:val="28"/>
                <w:szCs w:val="28"/>
              </w:rPr>
              <w:t>2.資訊安全評估結果，對Internet伺服器、客戶端應用程式</w:t>
            </w:r>
            <w:r w:rsidRPr="002F521B">
              <w:rPr>
                <w:rFonts w:ascii="標楷體" w:eastAsia="標楷體" w:hAnsi="標楷體"/>
                <w:b/>
                <w:sz w:val="28"/>
                <w:szCs w:val="28"/>
              </w:rPr>
              <w:t>執行程式原始碼掃描</w:t>
            </w:r>
            <w:r w:rsidRPr="002F521B">
              <w:rPr>
                <w:rFonts w:ascii="標楷體" w:eastAsia="標楷體" w:hAnsi="標楷體" w:hint="eastAsia"/>
                <w:b/>
                <w:sz w:val="28"/>
                <w:szCs w:val="28"/>
              </w:rPr>
              <w:t>等</w:t>
            </w:r>
            <w:r w:rsidRPr="002F521B">
              <w:rPr>
                <w:rFonts w:ascii="標楷體" w:eastAsia="標楷體" w:hAnsi="標楷體"/>
                <w:b/>
                <w:sz w:val="28"/>
                <w:szCs w:val="28"/>
              </w:rPr>
              <w:t>，發現</w:t>
            </w:r>
            <w:r w:rsidRPr="002F521B">
              <w:rPr>
                <w:rFonts w:ascii="標楷體" w:eastAsia="標楷體" w:hAnsi="標楷體" w:hint="eastAsia"/>
                <w:b/>
                <w:sz w:val="28"/>
                <w:szCs w:val="28"/>
              </w:rPr>
              <w:t>有多項</w:t>
            </w:r>
            <w:r w:rsidRPr="002F521B">
              <w:rPr>
                <w:rFonts w:ascii="標楷體" w:eastAsia="標楷體" w:hAnsi="標楷體"/>
                <w:b/>
                <w:sz w:val="28"/>
                <w:szCs w:val="28"/>
              </w:rPr>
              <w:t>嚴重及高風險</w:t>
            </w:r>
            <w:r w:rsidRPr="002F521B">
              <w:rPr>
                <w:rFonts w:ascii="標楷體" w:eastAsia="標楷體" w:hAnsi="標楷體" w:hint="eastAsia"/>
                <w:b/>
                <w:sz w:val="28"/>
                <w:szCs w:val="28"/>
              </w:rPr>
              <w:t>弱點缺失，尚未依所訂計畫完成改善。</w:t>
            </w:r>
          </w:p>
          <w:p w:rsidR="00C91D69" w:rsidRPr="002F521B" w:rsidRDefault="00C91D69" w:rsidP="003E6FAF">
            <w:pPr>
              <w:spacing w:line="460" w:lineRule="exact"/>
              <w:ind w:left="1412" w:hanging="284"/>
              <w:jc w:val="both"/>
              <w:rPr>
                <w:rFonts w:ascii="標楷體" w:eastAsia="標楷體" w:hAnsi="標楷體"/>
                <w:b/>
                <w:color w:val="000000" w:themeColor="text1"/>
                <w:sz w:val="28"/>
                <w:szCs w:val="28"/>
              </w:rPr>
            </w:pPr>
            <w:r w:rsidRPr="002F521B">
              <w:rPr>
                <w:rFonts w:ascii="標楷體" w:eastAsia="標楷體" w:hAnsi="標楷體" w:hint="eastAsia"/>
                <w:b/>
                <w:sz w:val="28"/>
                <w:szCs w:val="28"/>
              </w:rPr>
              <w:t>3.對</w:t>
            </w:r>
            <w:r w:rsidRPr="002F521B">
              <w:rPr>
                <w:rFonts w:ascii="標楷體" w:eastAsia="標楷體" w:hAnsi="標楷體" w:hint="eastAsia"/>
                <w:b/>
                <w:color w:val="000000" w:themeColor="text1"/>
                <w:sz w:val="28"/>
                <w:szCs w:val="28"/>
              </w:rPr>
              <w:t>單一系統發生重大資訊安全事件，未依「</w:t>
            </w:r>
            <w:r w:rsidRPr="002F521B">
              <w:rPr>
                <w:rFonts w:ascii="標楷體" w:eastAsia="標楷體" w:hAnsi="標楷體"/>
                <w:b/>
                <w:color w:val="000000" w:themeColor="text1"/>
                <w:sz w:val="28"/>
                <w:szCs w:val="28"/>
              </w:rPr>
              <w:t>金融機構辦理電腦系</w:t>
            </w:r>
            <w:r w:rsidRPr="002F521B">
              <w:rPr>
                <w:rFonts w:ascii="標楷體" w:eastAsia="標楷體" w:hAnsi="標楷體" w:hint="eastAsia"/>
                <w:b/>
                <w:color w:val="000000" w:themeColor="text1"/>
                <w:sz w:val="28"/>
                <w:szCs w:val="28"/>
              </w:rPr>
              <w:t>統</w:t>
            </w:r>
            <w:r w:rsidRPr="002F521B">
              <w:rPr>
                <w:rFonts w:ascii="標楷體" w:eastAsia="標楷體" w:hAnsi="標楷體"/>
                <w:b/>
                <w:color w:val="000000" w:themeColor="text1"/>
                <w:sz w:val="28"/>
                <w:szCs w:val="28"/>
              </w:rPr>
              <w:t>資訊安全評估辦法</w:t>
            </w:r>
            <w:r w:rsidRPr="002F521B">
              <w:rPr>
                <w:rFonts w:ascii="標楷體" w:eastAsia="標楷體" w:hAnsi="標楷體" w:hint="eastAsia"/>
                <w:b/>
                <w:color w:val="000000" w:themeColor="text1"/>
                <w:sz w:val="28"/>
                <w:szCs w:val="28"/>
              </w:rPr>
              <w:t xml:space="preserve">」規定，於三個月內重新完成資訊安全評估作業。 </w:t>
            </w:r>
          </w:p>
          <w:p w:rsidR="00C91D69" w:rsidRPr="002F521B" w:rsidRDefault="00C91D69" w:rsidP="003E6FAF">
            <w:pPr>
              <w:spacing w:line="460" w:lineRule="exact"/>
              <w:ind w:left="1412" w:hanging="284"/>
              <w:jc w:val="both"/>
              <w:rPr>
                <w:rFonts w:ascii="標楷體" w:eastAsia="標楷體" w:hAnsi="標楷體"/>
                <w:b/>
                <w:color w:val="000000" w:themeColor="text1"/>
                <w:sz w:val="28"/>
                <w:szCs w:val="28"/>
              </w:rPr>
            </w:pPr>
            <w:r w:rsidRPr="002F521B">
              <w:rPr>
                <w:rFonts w:ascii="標楷體" w:eastAsia="標楷體" w:hAnsi="標楷體" w:hint="eastAsia"/>
                <w:b/>
                <w:color w:val="000000" w:themeColor="text1"/>
                <w:sz w:val="28"/>
                <w:szCs w:val="28"/>
              </w:rPr>
              <w:t>4.資訊安全評估報告內容，未能依其系統之重要性明示分類，電腦系統分類範圍未</w:t>
            </w:r>
            <w:proofErr w:type="gramStart"/>
            <w:r w:rsidRPr="002F521B">
              <w:rPr>
                <w:rFonts w:ascii="標楷體" w:eastAsia="標楷體" w:hAnsi="標楷體" w:hint="eastAsia"/>
                <w:b/>
                <w:color w:val="000000" w:themeColor="text1"/>
                <w:sz w:val="28"/>
                <w:szCs w:val="28"/>
              </w:rPr>
              <w:t>臻</w:t>
            </w:r>
            <w:proofErr w:type="gramEnd"/>
            <w:r w:rsidRPr="002F521B">
              <w:rPr>
                <w:rFonts w:ascii="標楷體" w:eastAsia="標楷體" w:hAnsi="標楷體" w:hint="eastAsia"/>
                <w:b/>
                <w:color w:val="000000" w:themeColor="text1"/>
                <w:sz w:val="28"/>
                <w:szCs w:val="28"/>
              </w:rPr>
              <w:t xml:space="preserve">明確，不利資訊安全評估週期之控管。 </w:t>
            </w:r>
          </w:p>
          <w:p w:rsidR="00C91D69" w:rsidRPr="002F521B" w:rsidRDefault="00C91D69" w:rsidP="003E6FAF">
            <w:pPr>
              <w:spacing w:line="460" w:lineRule="exact"/>
              <w:ind w:left="1410" w:hanging="284"/>
              <w:jc w:val="both"/>
              <w:rPr>
                <w:rFonts w:ascii="標楷體" w:eastAsia="標楷體" w:hAnsi="標楷體"/>
                <w:b/>
                <w:color w:val="000000" w:themeColor="text1"/>
                <w:sz w:val="28"/>
                <w:szCs w:val="28"/>
              </w:rPr>
            </w:pPr>
            <w:r w:rsidRPr="002F521B">
              <w:rPr>
                <w:rFonts w:ascii="標楷體" w:eastAsia="標楷體" w:hAnsi="標楷體" w:hint="eastAsia"/>
                <w:b/>
                <w:color w:val="000000" w:themeColor="text1"/>
                <w:sz w:val="28"/>
                <w:szCs w:val="28"/>
              </w:rPr>
              <w:t>5.原委託第三人</w:t>
            </w:r>
            <w:r w:rsidRPr="002F521B">
              <w:rPr>
                <w:rFonts w:ascii="標楷體" w:eastAsia="標楷體" w:hAnsi="標楷體"/>
                <w:b/>
                <w:color w:val="000000" w:themeColor="text1"/>
                <w:sz w:val="28"/>
                <w:szCs w:val="28"/>
              </w:rPr>
              <w:t>辦理相關資訊安全評估，惟</w:t>
            </w:r>
            <w:r w:rsidRPr="002F521B">
              <w:rPr>
                <w:rFonts w:ascii="標楷體" w:eastAsia="標楷體" w:hAnsi="標楷體" w:hint="eastAsia"/>
                <w:b/>
                <w:color w:val="000000" w:themeColor="text1"/>
                <w:sz w:val="28"/>
                <w:szCs w:val="28"/>
              </w:rPr>
              <w:t>第三人未取得銀行書面同意即再委託其他第三人</w:t>
            </w:r>
            <w:proofErr w:type="gramStart"/>
            <w:r w:rsidRPr="002F521B">
              <w:rPr>
                <w:rFonts w:ascii="標楷體" w:eastAsia="標楷體" w:hAnsi="標楷體" w:hint="eastAsia"/>
                <w:b/>
                <w:color w:val="000000" w:themeColor="text1"/>
                <w:sz w:val="28"/>
                <w:szCs w:val="28"/>
              </w:rPr>
              <w:t>逕</w:t>
            </w:r>
            <w:proofErr w:type="gramEnd"/>
            <w:r w:rsidRPr="002F521B">
              <w:rPr>
                <w:rFonts w:ascii="標楷體" w:eastAsia="標楷體" w:hAnsi="標楷體" w:hint="eastAsia"/>
                <w:b/>
                <w:color w:val="000000" w:themeColor="text1"/>
                <w:sz w:val="28"/>
                <w:szCs w:val="28"/>
              </w:rPr>
              <w:t>予</w:t>
            </w:r>
            <w:proofErr w:type="gramStart"/>
            <w:r w:rsidRPr="002F521B">
              <w:rPr>
                <w:rFonts w:ascii="標楷體" w:eastAsia="標楷體" w:hAnsi="標楷體" w:hint="eastAsia"/>
                <w:b/>
                <w:color w:val="000000" w:themeColor="text1"/>
                <w:sz w:val="28"/>
                <w:szCs w:val="28"/>
              </w:rPr>
              <w:t>辦理資安評估</w:t>
            </w:r>
            <w:proofErr w:type="gramEnd"/>
            <w:r w:rsidRPr="002F521B">
              <w:rPr>
                <w:rFonts w:ascii="標楷體" w:eastAsia="標楷體" w:hAnsi="標楷體" w:hint="eastAsia"/>
                <w:b/>
                <w:color w:val="000000" w:themeColor="text1"/>
                <w:sz w:val="28"/>
                <w:szCs w:val="28"/>
              </w:rPr>
              <w:t>作業，雖其他第三人亦</w:t>
            </w:r>
            <w:proofErr w:type="gramStart"/>
            <w:r w:rsidRPr="002F521B">
              <w:rPr>
                <w:rFonts w:ascii="標楷體" w:eastAsia="標楷體" w:hAnsi="標楷體" w:hint="eastAsia"/>
                <w:b/>
                <w:color w:val="000000" w:themeColor="text1"/>
                <w:sz w:val="28"/>
                <w:szCs w:val="28"/>
              </w:rPr>
              <w:t>符合資安評估</w:t>
            </w:r>
            <w:proofErr w:type="gramEnd"/>
            <w:r w:rsidRPr="002F521B">
              <w:rPr>
                <w:rFonts w:ascii="標楷體" w:eastAsia="標楷體" w:hAnsi="標楷體" w:hint="eastAsia"/>
                <w:b/>
                <w:color w:val="000000" w:themeColor="text1"/>
                <w:sz w:val="28"/>
                <w:szCs w:val="28"/>
              </w:rPr>
              <w:t>專業機構，惟未依當初雙方簽訂「電腦系統資訊安全評估服務專案」合約書條約內容辦理，</w:t>
            </w:r>
            <w:r>
              <w:rPr>
                <w:rFonts w:ascii="標楷體" w:eastAsia="標楷體" w:hAnsi="標楷體" w:hint="eastAsia"/>
                <w:b/>
                <w:color w:val="000000" w:themeColor="text1"/>
                <w:sz w:val="28"/>
                <w:szCs w:val="28"/>
              </w:rPr>
              <w:t>有</w:t>
            </w:r>
            <w:r w:rsidRPr="002F521B">
              <w:rPr>
                <w:rFonts w:ascii="標楷體" w:eastAsia="標楷體" w:hAnsi="標楷體" w:hint="eastAsia"/>
                <w:b/>
                <w:color w:val="000000" w:themeColor="text1"/>
                <w:sz w:val="28"/>
                <w:szCs w:val="28"/>
              </w:rPr>
              <w:t>欠妥</w:t>
            </w:r>
            <w:r>
              <w:rPr>
                <w:rFonts w:ascii="標楷體" w:eastAsia="標楷體" w:hAnsi="標楷體" w:hint="eastAsia"/>
                <w:b/>
                <w:color w:val="000000" w:themeColor="text1"/>
                <w:sz w:val="28"/>
                <w:szCs w:val="28"/>
              </w:rPr>
              <w:t>善</w:t>
            </w:r>
            <w:r w:rsidRPr="002F521B">
              <w:rPr>
                <w:rFonts w:ascii="標楷體" w:eastAsia="標楷體" w:hAnsi="標楷體" w:hint="eastAsia"/>
                <w:b/>
                <w:color w:val="000000" w:themeColor="text1"/>
                <w:sz w:val="28"/>
                <w:szCs w:val="28"/>
              </w:rPr>
              <w:t xml:space="preserve">。 </w:t>
            </w:r>
          </w:p>
          <w:p w:rsidR="00C91D69" w:rsidRPr="00C91D69" w:rsidRDefault="00C91D69" w:rsidP="003E6FAF">
            <w:pPr>
              <w:spacing w:line="460" w:lineRule="exact"/>
              <w:ind w:left="1124" w:hanging="284"/>
              <w:jc w:val="both"/>
              <w:rPr>
                <w:rFonts w:ascii="標楷體" w:eastAsia="標楷體" w:hAnsi="標楷體"/>
                <w:b/>
                <w:sz w:val="28"/>
                <w:szCs w:val="28"/>
              </w:rPr>
            </w:pPr>
          </w:p>
        </w:tc>
      </w:tr>
    </w:tbl>
    <w:p w:rsidR="00C91D69" w:rsidRPr="002F521B" w:rsidRDefault="00C91D69" w:rsidP="00C91D69">
      <w:pPr>
        <w:spacing w:line="460" w:lineRule="exact"/>
        <w:ind w:left="1276" w:hanging="1134"/>
        <w:jc w:val="both"/>
        <w:rPr>
          <w:rFonts w:ascii="標楷體" w:eastAsia="標楷體" w:hAnsi="標楷體" w:cs="Times New Roman"/>
          <w:sz w:val="28"/>
          <w:szCs w:val="28"/>
        </w:rPr>
      </w:pPr>
      <w:r w:rsidRPr="002F521B">
        <w:rPr>
          <w:rFonts w:ascii="標楷體" w:eastAsia="標楷體" w:hAnsi="標楷體" w:cs="Times New Roman" w:hint="eastAsia"/>
          <w:b/>
          <w:sz w:val="28"/>
          <w:szCs w:val="28"/>
        </w:rPr>
        <w:t>改善作法：</w:t>
      </w:r>
    </w:p>
    <w:p w:rsidR="00C91D69" w:rsidRPr="002F521B" w:rsidRDefault="00C91D69" w:rsidP="00C91D69">
      <w:pPr>
        <w:spacing w:line="460" w:lineRule="exact"/>
        <w:ind w:left="426" w:hanging="284"/>
        <w:jc w:val="both"/>
        <w:rPr>
          <w:rFonts w:ascii="標楷體" w:eastAsia="標楷體" w:hAnsi="標楷體" w:cs="Times New Roman"/>
          <w:sz w:val="28"/>
          <w:szCs w:val="28"/>
        </w:rPr>
      </w:pPr>
      <w:r w:rsidRPr="002F521B">
        <w:rPr>
          <w:rFonts w:ascii="標楷體" w:eastAsia="標楷體" w:hAnsi="標楷體" w:cs="Times New Roman" w:hint="eastAsia"/>
          <w:sz w:val="28"/>
          <w:szCs w:val="28"/>
        </w:rPr>
        <w:t>1.參考法規：</w:t>
      </w:r>
    </w:p>
    <w:p w:rsidR="00C91D69" w:rsidRPr="002F521B" w:rsidRDefault="00C91D69" w:rsidP="00C91D69">
      <w:pPr>
        <w:spacing w:line="460" w:lineRule="exact"/>
        <w:ind w:leftChars="177" w:left="425"/>
        <w:jc w:val="both"/>
        <w:rPr>
          <w:rFonts w:ascii="標楷體" w:eastAsia="標楷體" w:hAnsi="標楷體"/>
          <w:sz w:val="28"/>
          <w:szCs w:val="28"/>
        </w:rPr>
      </w:pPr>
      <w:r w:rsidRPr="002F521B">
        <w:rPr>
          <w:rFonts w:ascii="標楷體" w:eastAsia="標楷體" w:hAnsi="標楷體" w:hint="eastAsia"/>
          <w:sz w:val="28"/>
          <w:szCs w:val="28"/>
        </w:rPr>
        <w:t>(1)金融機構辦理電腦系統資訊安全評估辦法。</w:t>
      </w:r>
    </w:p>
    <w:p w:rsidR="00C91D69" w:rsidRPr="002F521B" w:rsidRDefault="00C91D69" w:rsidP="00C91D69">
      <w:pPr>
        <w:spacing w:line="460" w:lineRule="exact"/>
        <w:ind w:leftChars="177" w:left="425"/>
        <w:jc w:val="both"/>
        <w:rPr>
          <w:rFonts w:ascii="標楷體" w:eastAsia="標楷體" w:hAnsi="標楷體" w:cs="Times New Roman"/>
          <w:sz w:val="28"/>
          <w:szCs w:val="28"/>
        </w:rPr>
      </w:pPr>
      <w:r w:rsidRPr="002F521B">
        <w:rPr>
          <w:rFonts w:ascii="標楷體" w:eastAsia="標楷體" w:hAnsi="標楷體" w:hint="eastAsia"/>
          <w:sz w:val="28"/>
          <w:szCs w:val="28"/>
        </w:rPr>
        <w:t>(2)金融機構提供行動裝置應用程式作業規範</w:t>
      </w:r>
      <w:r w:rsidRPr="002F521B">
        <w:rPr>
          <w:rFonts w:ascii="標楷體" w:eastAsia="標楷體" w:hAnsi="標楷體" w:cs="Times New Roman" w:hint="eastAsia"/>
          <w:sz w:val="28"/>
          <w:szCs w:val="28"/>
        </w:rPr>
        <w:t>。</w:t>
      </w:r>
    </w:p>
    <w:p w:rsidR="00C91D69" w:rsidRPr="002F521B" w:rsidRDefault="00C91D69" w:rsidP="00C91D69">
      <w:pPr>
        <w:spacing w:line="460" w:lineRule="exact"/>
        <w:ind w:left="426" w:hanging="284"/>
        <w:jc w:val="both"/>
        <w:rPr>
          <w:rFonts w:ascii="標楷體" w:eastAsia="標楷體" w:hAnsi="標楷體" w:cs="Times New Roman"/>
          <w:sz w:val="28"/>
          <w:szCs w:val="28"/>
        </w:rPr>
      </w:pPr>
      <w:r w:rsidRPr="002F521B">
        <w:rPr>
          <w:rFonts w:ascii="標楷體" w:eastAsia="標楷體" w:hAnsi="標楷體" w:cs="Times New Roman" w:hint="eastAsia"/>
          <w:sz w:val="28"/>
          <w:szCs w:val="28"/>
        </w:rPr>
        <w:t>2.依規定辦理並落實複核機制。</w:t>
      </w:r>
    </w:p>
    <w:p w:rsidR="00C91D69" w:rsidRPr="004F4DD1" w:rsidRDefault="00C91D69" w:rsidP="00C91D69">
      <w:pPr>
        <w:spacing w:line="460" w:lineRule="exact"/>
        <w:ind w:left="426" w:hanging="284"/>
        <w:jc w:val="both"/>
        <w:rPr>
          <w:rFonts w:ascii="標楷體" w:eastAsia="標楷體" w:hAnsi="標楷體" w:cs="Times New Roman"/>
          <w:sz w:val="28"/>
          <w:szCs w:val="28"/>
        </w:rPr>
      </w:pPr>
      <w:r w:rsidRPr="002F521B">
        <w:rPr>
          <w:rFonts w:ascii="標楷體" w:eastAsia="標楷體" w:hAnsi="標楷體" w:cs="Times New Roman" w:hint="eastAsia"/>
          <w:sz w:val="28"/>
          <w:szCs w:val="28"/>
        </w:rPr>
        <w:t>3.內部稽核將申報資料正確性列為查核重點。</w:t>
      </w:r>
    </w:p>
    <w:p w:rsidR="00C91D69" w:rsidRPr="00C91D69" w:rsidRDefault="00C91D69" w:rsidP="000B4FBB">
      <w:pPr>
        <w:spacing w:line="460" w:lineRule="exact"/>
        <w:ind w:left="1276" w:hanging="1276"/>
        <w:jc w:val="both"/>
        <w:rPr>
          <w:rFonts w:ascii="標楷體" w:eastAsia="標楷體" w:hAnsi="標楷體" w:cs="Times New Roman"/>
          <w:color w:val="000000" w:themeColor="text1"/>
          <w:sz w:val="28"/>
          <w:szCs w:val="28"/>
        </w:rPr>
      </w:pPr>
    </w:p>
    <w:sectPr w:rsidR="00C91D69" w:rsidRPr="00C91D69" w:rsidSect="00C91D69">
      <w:footerReference w:type="default" r:id="rId8"/>
      <w:pgSz w:w="11906" w:h="16838"/>
      <w:pgMar w:top="1276"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C81" w:rsidRDefault="00106C81" w:rsidP="00A42FFF">
      <w:r>
        <w:separator/>
      </w:r>
    </w:p>
  </w:endnote>
  <w:endnote w:type="continuationSeparator" w:id="0">
    <w:p w:rsidR="00106C81" w:rsidRDefault="00106C81"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106C81" w:rsidRDefault="0055674E">
        <w:pPr>
          <w:pStyle w:val="a6"/>
          <w:jc w:val="center"/>
        </w:pPr>
        <w:r>
          <w:rPr>
            <w:noProof/>
            <w:lang w:val="zh-TW"/>
          </w:rPr>
          <w:fldChar w:fldCharType="begin"/>
        </w:r>
        <w:r w:rsidR="00106C81">
          <w:rPr>
            <w:noProof/>
            <w:lang w:val="zh-TW"/>
          </w:rPr>
          <w:instrText xml:space="preserve"> PAGE   \* MERGEFORMAT </w:instrText>
        </w:r>
        <w:r>
          <w:rPr>
            <w:noProof/>
            <w:lang w:val="zh-TW"/>
          </w:rPr>
          <w:fldChar w:fldCharType="separate"/>
        </w:r>
        <w:r w:rsidR="008476D4">
          <w:rPr>
            <w:noProof/>
            <w:lang w:val="zh-TW"/>
          </w:rPr>
          <w:t>5</w:t>
        </w:r>
        <w:r>
          <w:rPr>
            <w:noProof/>
            <w:lang w:val="zh-TW"/>
          </w:rPr>
          <w:fldChar w:fldCharType="end"/>
        </w:r>
      </w:p>
    </w:sdtContent>
  </w:sdt>
  <w:p w:rsidR="00106C81" w:rsidRDefault="00106C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C81" w:rsidRDefault="00106C81" w:rsidP="00A42FFF">
      <w:r>
        <w:separator/>
      </w:r>
    </w:p>
  </w:footnote>
  <w:footnote w:type="continuationSeparator" w:id="0">
    <w:p w:rsidR="00106C81" w:rsidRDefault="00106C81"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15E"/>
    <w:multiLevelType w:val="hybridMultilevel"/>
    <w:tmpl w:val="2270A590"/>
    <w:lvl w:ilvl="0" w:tplc="22F2EACC">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11133593"/>
    <w:multiLevelType w:val="hybridMultilevel"/>
    <w:tmpl w:val="BCAEF726"/>
    <w:lvl w:ilvl="0" w:tplc="FB129260">
      <w:start w:val="1"/>
      <w:numFmt w:val="upperLetter"/>
      <w:lvlText w:val="%1."/>
      <w:lvlJc w:val="left"/>
      <w:pPr>
        <w:ind w:left="2040"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
    <w:nsid w:val="1C5D6249"/>
    <w:multiLevelType w:val="hybridMultilevel"/>
    <w:tmpl w:val="CCF451BA"/>
    <w:lvl w:ilvl="0" w:tplc="E236DA2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2726226E"/>
    <w:multiLevelType w:val="hybridMultilevel"/>
    <w:tmpl w:val="977022D0"/>
    <w:lvl w:ilvl="0" w:tplc="5296DE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30EA4D0A"/>
    <w:multiLevelType w:val="hybridMultilevel"/>
    <w:tmpl w:val="D5B4DFFC"/>
    <w:lvl w:ilvl="0" w:tplc="85E66056">
      <w:start w:val="1"/>
      <w:numFmt w:val="upperLetter"/>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354288"/>
    <w:multiLevelType w:val="hybridMultilevel"/>
    <w:tmpl w:val="F9446D62"/>
    <w:lvl w:ilvl="0" w:tplc="FBB60CCA">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40AF3792"/>
    <w:multiLevelType w:val="hybridMultilevel"/>
    <w:tmpl w:val="1A4295C2"/>
    <w:lvl w:ilvl="0" w:tplc="FE1038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41941AE7"/>
    <w:multiLevelType w:val="hybridMultilevel"/>
    <w:tmpl w:val="F9446D62"/>
    <w:lvl w:ilvl="0" w:tplc="FBB60CCA">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9">
    <w:nsid w:val="58894313"/>
    <w:multiLevelType w:val="hybridMultilevel"/>
    <w:tmpl w:val="D47E9C40"/>
    <w:lvl w:ilvl="0" w:tplc="7CBE01DC">
      <w:start w:val="1"/>
      <w:numFmt w:val="upperLetter"/>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72E762BF"/>
    <w:multiLevelType w:val="hybridMultilevel"/>
    <w:tmpl w:val="EA88E042"/>
    <w:lvl w:ilvl="0" w:tplc="DE70F202">
      <w:start w:val="1"/>
      <w:numFmt w:val="decimal"/>
      <w:lvlText w:val="%1."/>
      <w:lvlJc w:val="left"/>
      <w:pPr>
        <w:ind w:left="4188"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2">
    <w:nsid w:val="76C24A3C"/>
    <w:multiLevelType w:val="hybridMultilevel"/>
    <w:tmpl w:val="53649B74"/>
    <w:lvl w:ilvl="0" w:tplc="F6E8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5868E1"/>
    <w:multiLevelType w:val="hybridMultilevel"/>
    <w:tmpl w:val="E6BC4D6C"/>
    <w:lvl w:ilvl="0" w:tplc="FE1038E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7F547F01"/>
    <w:multiLevelType w:val="multilevel"/>
    <w:tmpl w:val="940C3860"/>
    <w:lvl w:ilvl="0">
      <w:start w:val="1"/>
      <w:numFmt w:val="decimal"/>
      <w:lvlText w:val="（%1）"/>
      <w:lvlJc w:val="left"/>
      <w:pPr>
        <w:ind w:left="1080" w:hanging="1080"/>
      </w:pPr>
      <w:rPr>
        <w:rFonts w:hAnsi="Times New Roman" w:hint="default"/>
      </w:rPr>
    </w:lvl>
    <w:lvl w:ilvl="1">
      <w:start w:val="1"/>
      <w:numFmt w:val="decimal"/>
      <w:lvlText w:val="（%2）"/>
      <w:lvlJc w:val="left"/>
      <w:pPr>
        <w:ind w:left="2575" w:hanging="1440"/>
      </w:pPr>
      <w:rPr>
        <w:rFonts w:hint="default"/>
        <w:lang w:val="en-US"/>
      </w:rPr>
    </w:lvl>
    <w:lvl w:ilvl="2">
      <w:start w:val="1"/>
      <w:numFmt w:val="decimal"/>
      <w:lvlText w:val="（%1）%2.%3."/>
      <w:lvlJc w:val="left"/>
      <w:pPr>
        <w:ind w:left="3494" w:hanging="1800"/>
      </w:pPr>
      <w:rPr>
        <w:rFonts w:hAnsi="Times New Roman" w:hint="default"/>
      </w:rPr>
    </w:lvl>
    <w:lvl w:ilvl="3">
      <w:start w:val="1"/>
      <w:numFmt w:val="decimal"/>
      <w:lvlText w:val="（%1）%2.%3.%4."/>
      <w:lvlJc w:val="left"/>
      <w:pPr>
        <w:ind w:left="4341" w:hanging="1800"/>
      </w:pPr>
      <w:rPr>
        <w:rFonts w:hAnsi="Times New Roman" w:hint="default"/>
      </w:rPr>
    </w:lvl>
    <w:lvl w:ilvl="4">
      <w:start w:val="1"/>
      <w:numFmt w:val="decimal"/>
      <w:lvlText w:val="（%1）%2.%3.%4.%5."/>
      <w:lvlJc w:val="left"/>
      <w:pPr>
        <w:ind w:left="5548" w:hanging="2160"/>
      </w:pPr>
      <w:rPr>
        <w:rFonts w:hAnsi="Times New Roman" w:hint="default"/>
      </w:rPr>
    </w:lvl>
    <w:lvl w:ilvl="5">
      <w:start w:val="1"/>
      <w:numFmt w:val="decimal"/>
      <w:lvlText w:val="（%1）%2.%3.%4.%5.%6."/>
      <w:lvlJc w:val="left"/>
      <w:pPr>
        <w:ind w:left="6755" w:hanging="2520"/>
      </w:pPr>
      <w:rPr>
        <w:rFonts w:hAnsi="Times New Roman" w:hint="default"/>
      </w:rPr>
    </w:lvl>
    <w:lvl w:ilvl="6">
      <w:start w:val="1"/>
      <w:numFmt w:val="decimal"/>
      <w:lvlText w:val="（%1）%2.%3.%4.%5.%6.%7."/>
      <w:lvlJc w:val="left"/>
      <w:pPr>
        <w:ind w:left="7962" w:hanging="2880"/>
      </w:pPr>
      <w:rPr>
        <w:rFonts w:hAnsi="Times New Roman" w:hint="default"/>
      </w:rPr>
    </w:lvl>
    <w:lvl w:ilvl="7">
      <w:start w:val="1"/>
      <w:numFmt w:val="decimal"/>
      <w:lvlText w:val="（%1）%2.%3.%4.%5.%6.%7.%8."/>
      <w:lvlJc w:val="left"/>
      <w:pPr>
        <w:ind w:left="9169" w:hanging="3240"/>
      </w:pPr>
      <w:rPr>
        <w:rFonts w:hAnsi="Times New Roman" w:hint="default"/>
      </w:rPr>
    </w:lvl>
    <w:lvl w:ilvl="8">
      <w:start w:val="1"/>
      <w:numFmt w:val="decimal"/>
      <w:lvlText w:val="（%1）%2.%3.%4.%5.%6.%7.%8.%9."/>
      <w:lvlJc w:val="left"/>
      <w:pPr>
        <w:ind w:left="10376" w:hanging="3600"/>
      </w:pPr>
      <w:rPr>
        <w:rFonts w:hAnsi="Times New Roman" w:hint="default"/>
      </w:rPr>
    </w:lvl>
  </w:abstractNum>
  <w:abstractNum w:abstractNumId="15">
    <w:nsid w:val="7FC73A02"/>
    <w:multiLevelType w:val="multilevel"/>
    <w:tmpl w:val="E958802C"/>
    <w:lvl w:ilvl="0">
      <w:start w:val="1"/>
      <w:numFmt w:val="decimal"/>
      <w:lvlText w:val="（%1）"/>
      <w:lvlJc w:val="left"/>
      <w:pPr>
        <w:ind w:left="1080" w:hanging="1080"/>
      </w:pPr>
      <w:rPr>
        <w:rFonts w:hAnsi="Times New Roman" w:hint="default"/>
      </w:rPr>
    </w:lvl>
    <w:lvl w:ilvl="1">
      <w:start w:val="1"/>
      <w:numFmt w:val="decimal"/>
      <w:lvlText w:val="（%2）"/>
      <w:lvlJc w:val="left"/>
      <w:pPr>
        <w:ind w:left="1582" w:hanging="1440"/>
      </w:pPr>
      <w:rPr>
        <w:rFonts w:hint="default"/>
        <w:lang w:val="en-US"/>
      </w:rPr>
    </w:lvl>
    <w:lvl w:ilvl="2">
      <w:start w:val="1"/>
      <w:numFmt w:val="decimal"/>
      <w:lvlText w:val="（%1）%2.%3."/>
      <w:lvlJc w:val="left"/>
      <w:pPr>
        <w:ind w:left="3494" w:hanging="1800"/>
      </w:pPr>
      <w:rPr>
        <w:rFonts w:hAnsi="Times New Roman" w:hint="default"/>
      </w:rPr>
    </w:lvl>
    <w:lvl w:ilvl="3">
      <w:start w:val="1"/>
      <w:numFmt w:val="decimal"/>
      <w:lvlText w:val="（%1）%2.%3.%4."/>
      <w:lvlJc w:val="left"/>
      <w:pPr>
        <w:ind w:left="4341" w:hanging="1800"/>
      </w:pPr>
      <w:rPr>
        <w:rFonts w:hAnsi="Times New Roman" w:hint="default"/>
      </w:rPr>
    </w:lvl>
    <w:lvl w:ilvl="4">
      <w:start w:val="1"/>
      <w:numFmt w:val="decimal"/>
      <w:lvlText w:val="（%1）%2.%3.%4.%5."/>
      <w:lvlJc w:val="left"/>
      <w:pPr>
        <w:ind w:left="5548" w:hanging="2160"/>
      </w:pPr>
      <w:rPr>
        <w:rFonts w:hAnsi="Times New Roman" w:hint="default"/>
      </w:rPr>
    </w:lvl>
    <w:lvl w:ilvl="5">
      <w:start w:val="1"/>
      <w:numFmt w:val="decimal"/>
      <w:lvlText w:val="（%1）%2.%3.%4.%5.%6."/>
      <w:lvlJc w:val="left"/>
      <w:pPr>
        <w:ind w:left="6755" w:hanging="2520"/>
      </w:pPr>
      <w:rPr>
        <w:rFonts w:hAnsi="Times New Roman" w:hint="default"/>
      </w:rPr>
    </w:lvl>
    <w:lvl w:ilvl="6">
      <w:start w:val="1"/>
      <w:numFmt w:val="decimal"/>
      <w:lvlText w:val="（%1）%2.%3.%4.%5.%6.%7."/>
      <w:lvlJc w:val="left"/>
      <w:pPr>
        <w:ind w:left="7962" w:hanging="2880"/>
      </w:pPr>
      <w:rPr>
        <w:rFonts w:hAnsi="Times New Roman" w:hint="default"/>
      </w:rPr>
    </w:lvl>
    <w:lvl w:ilvl="7">
      <w:start w:val="1"/>
      <w:numFmt w:val="decimal"/>
      <w:lvlText w:val="（%1）%2.%3.%4.%5.%6.%7.%8."/>
      <w:lvlJc w:val="left"/>
      <w:pPr>
        <w:ind w:left="9169" w:hanging="3240"/>
      </w:pPr>
      <w:rPr>
        <w:rFonts w:hAnsi="Times New Roman" w:hint="default"/>
      </w:rPr>
    </w:lvl>
    <w:lvl w:ilvl="8">
      <w:start w:val="1"/>
      <w:numFmt w:val="decimal"/>
      <w:lvlText w:val="（%1）%2.%3.%4.%5.%6.%7.%8.%9."/>
      <w:lvlJc w:val="left"/>
      <w:pPr>
        <w:ind w:left="10376" w:hanging="3600"/>
      </w:pPr>
      <w:rPr>
        <w:rFonts w:hAnsi="Times New Roman" w:hint="default"/>
      </w:rPr>
    </w:lvl>
  </w:abstractNum>
  <w:num w:numId="1">
    <w:abstractNumId w:val="3"/>
  </w:num>
  <w:num w:numId="2">
    <w:abstractNumId w:val="12"/>
  </w:num>
  <w:num w:numId="3">
    <w:abstractNumId w:val="9"/>
  </w:num>
  <w:num w:numId="4">
    <w:abstractNumId w:val="1"/>
  </w:num>
  <w:num w:numId="5">
    <w:abstractNumId w:val="13"/>
  </w:num>
  <w:num w:numId="6">
    <w:abstractNumId w:val="7"/>
  </w:num>
  <w:num w:numId="7">
    <w:abstractNumId w:val="14"/>
  </w:num>
  <w:num w:numId="8">
    <w:abstractNumId w:val="15"/>
  </w:num>
  <w:num w:numId="9">
    <w:abstractNumId w:val="5"/>
  </w:num>
  <w:num w:numId="10">
    <w:abstractNumId w:val="2"/>
  </w:num>
  <w:num w:numId="11">
    <w:abstractNumId w:val="11"/>
  </w:num>
  <w:num w:numId="12">
    <w:abstractNumId w:val="6"/>
  </w:num>
  <w:num w:numId="13">
    <w:abstractNumId w:val="8"/>
  </w:num>
  <w:num w:numId="14">
    <w:abstractNumId w:val="0"/>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59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73F3"/>
    <w:rsid w:val="00010A29"/>
    <w:rsid w:val="00012C36"/>
    <w:rsid w:val="00014A4D"/>
    <w:rsid w:val="00016310"/>
    <w:rsid w:val="00022A6F"/>
    <w:rsid w:val="0003582C"/>
    <w:rsid w:val="00056A0F"/>
    <w:rsid w:val="00062F65"/>
    <w:rsid w:val="000666B6"/>
    <w:rsid w:val="0007227B"/>
    <w:rsid w:val="00076B17"/>
    <w:rsid w:val="0009107B"/>
    <w:rsid w:val="000A3F06"/>
    <w:rsid w:val="000B4FBB"/>
    <w:rsid w:val="000B7245"/>
    <w:rsid w:val="000C2306"/>
    <w:rsid w:val="000D17D5"/>
    <w:rsid w:val="000D3506"/>
    <w:rsid w:val="000E0B91"/>
    <w:rsid w:val="000E2D78"/>
    <w:rsid w:val="000E4016"/>
    <w:rsid w:val="000F0B42"/>
    <w:rsid w:val="000F34F1"/>
    <w:rsid w:val="000F49BC"/>
    <w:rsid w:val="0010267F"/>
    <w:rsid w:val="00104718"/>
    <w:rsid w:val="001058B1"/>
    <w:rsid w:val="00106C81"/>
    <w:rsid w:val="0011694C"/>
    <w:rsid w:val="00120A66"/>
    <w:rsid w:val="00123E50"/>
    <w:rsid w:val="00127E8D"/>
    <w:rsid w:val="001437FF"/>
    <w:rsid w:val="001468A3"/>
    <w:rsid w:val="00151F80"/>
    <w:rsid w:val="00170B9F"/>
    <w:rsid w:val="001739D1"/>
    <w:rsid w:val="00183F59"/>
    <w:rsid w:val="00185833"/>
    <w:rsid w:val="00185EF7"/>
    <w:rsid w:val="001928FB"/>
    <w:rsid w:val="00196166"/>
    <w:rsid w:val="001B6BC9"/>
    <w:rsid w:val="001C4048"/>
    <w:rsid w:val="001C57A5"/>
    <w:rsid w:val="001D04E7"/>
    <w:rsid w:val="001D5A27"/>
    <w:rsid w:val="001D5B43"/>
    <w:rsid w:val="001E482D"/>
    <w:rsid w:val="001F2AD4"/>
    <w:rsid w:val="001F63F5"/>
    <w:rsid w:val="001F7FF5"/>
    <w:rsid w:val="002049F0"/>
    <w:rsid w:val="0022267C"/>
    <w:rsid w:val="00225B93"/>
    <w:rsid w:val="00236D98"/>
    <w:rsid w:val="00237C96"/>
    <w:rsid w:val="00244FC4"/>
    <w:rsid w:val="00274E06"/>
    <w:rsid w:val="00287B9A"/>
    <w:rsid w:val="002C0B17"/>
    <w:rsid w:val="002D3814"/>
    <w:rsid w:val="002E127C"/>
    <w:rsid w:val="002E33E9"/>
    <w:rsid w:val="002E76EF"/>
    <w:rsid w:val="002F3E6B"/>
    <w:rsid w:val="0031676B"/>
    <w:rsid w:val="00330C2E"/>
    <w:rsid w:val="00340336"/>
    <w:rsid w:val="00354525"/>
    <w:rsid w:val="0036315D"/>
    <w:rsid w:val="0036454F"/>
    <w:rsid w:val="003646A0"/>
    <w:rsid w:val="00387EBA"/>
    <w:rsid w:val="00396E2D"/>
    <w:rsid w:val="003A16F7"/>
    <w:rsid w:val="003A3DE9"/>
    <w:rsid w:val="003B1ABC"/>
    <w:rsid w:val="003D1E9F"/>
    <w:rsid w:val="003E5EF8"/>
    <w:rsid w:val="003E7391"/>
    <w:rsid w:val="003F4A29"/>
    <w:rsid w:val="0040153E"/>
    <w:rsid w:val="00407C0C"/>
    <w:rsid w:val="0042797C"/>
    <w:rsid w:val="00431CC5"/>
    <w:rsid w:val="004336A1"/>
    <w:rsid w:val="00434189"/>
    <w:rsid w:val="0043743C"/>
    <w:rsid w:val="00444949"/>
    <w:rsid w:val="0044639D"/>
    <w:rsid w:val="0046084B"/>
    <w:rsid w:val="004678F1"/>
    <w:rsid w:val="004711CD"/>
    <w:rsid w:val="00472D3D"/>
    <w:rsid w:val="004744E9"/>
    <w:rsid w:val="00476D42"/>
    <w:rsid w:val="00492325"/>
    <w:rsid w:val="004A10A3"/>
    <w:rsid w:val="004A2C83"/>
    <w:rsid w:val="004E33DB"/>
    <w:rsid w:val="004E67EB"/>
    <w:rsid w:val="004F0307"/>
    <w:rsid w:val="004F47F3"/>
    <w:rsid w:val="004F4DD1"/>
    <w:rsid w:val="004F6F7B"/>
    <w:rsid w:val="00516CE1"/>
    <w:rsid w:val="00516F31"/>
    <w:rsid w:val="00521167"/>
    <w:rsid w:val="00534097"/>
    <w:rsid w:val="00543CAA"/>
    <w:rsid w:val="005442F0"/>
    <w:rsid w:val="0055674E"/>
    <w:rsid w:val="00571C49"/>
    <w:rsid w:val="005801D4"/>
    <w:rsid w:val="00587B88"/>
    <w:rsid w:val="005A4389"/>
    <w:rsid w:val="005B6027"/>
    <w:rsid w:val="005C2ED4"/>
    <w:rsid w:val="005C6214"/>
    <w:rsid w:val="005D4372"/>
    <w:rsid w:val="005E7F07"/>
    <w:rsid w:val="005F1BFC"/>
    <w:rsid w:val="005F2304"/>
    <w:rsid w:val="006013FE"/>
    <w:rsid w:val="006110B4"/>
    <w:rsid w:val="006119B9"/>
    <w:rsid w:val="00636AF7"/>
    <w:rsid w:val="006516BD"/>
    <w:rsid w:val="00655DAE"/>
    <w:rsid w:val="00666C66"/>
    <w:rsid w:val="006B20B9"/>
    <w:rsid w:val="006B60F6"/>
    <w:rsid w:val="006C66E0"/>
    <w:rsid w:val="006D05DD"/>
    <w:rsid w:val="006D0D59"/>
    <w:rsid w:val="006E3A18"/>
    <w:rsid w:val="006F1642"/>
    <w:rsid w:val="006F6256"/>
    <w:rsid w:val="006F7003"/>
    <w:rsid w:val="00702D33"/>
    <w:rsid w:val="00706506"/>
    <w:rsid w:val="00711738"/>
    <w:rsid w:val="00717B28"/>
    <w:rsid w:val="00726FA3"/>
    <w:rsid w:val="0073721E"/>
    <w:rsid w:val="00741FCB"/>
    <w:rsid w:val="007423F9"/>
    <w:rsid w:val="0074510C"/>
    <w:rsid w:val="00757B9C"/>
    <w:rsid w:val="007613D5"/>
    <w:rsid w:val="007646B4"/>
    <w:rsid w:val="007652B0"/>
    <w:rsid w:val="00765D04"/>
    <w:rsid w:val="007735AB"/>
    <w:rsid w:val="00777655"/>
    <w:rsid w:val="007916C1"/>
    <w:rsid w:val="00795639"/>
    <w:rsid w:val="007A27F5"/>
    <w:rsid w:val="007A3BEB"/>
    <w:rsid w:val="007A7C74"/>
    <w:rsid w:val="007B0926"/>
    <w:rsid w:val="007B32C9"/>
    <w:rsid w:val="007C16F4"/>
    <w:rsid w:val="00827230"/>
    <w:rsid w:val="00835934"/>
    <w:rsid w:val="008361CF"/>
    <w:rsid w:val="00837705"/>
    <w:rsid w:val="00845BFE"/>
    <w:rsid w:val="008476D4"/>
    <w:rsid w:val="00852EB7"/>
    <w:rsid w:val="00860563"/>
    <w:rsid w:val="008725A6"/>
    <w:rsid w:val="008741CB"/>
    <w:rsid w:val="00892660"/>
    <w:rsid w:val="00893404"/>
    <w:rsid w:val="00895C85"/>
    <w:rsid w:val="008B148B"/>
    <w:rsid w:val="008B596B"/>
    <w:rsid w:val="008C002F"/>
    <w:rsid w:val="008D4678"/>
    <w:rsid w:val="008F5C48"/>
    <w:rsid w:val="009005E8"/>
    <w:rsid w:val="00905ECE"/>
    <w:rsid w:val="00916238"/>
    <w:rsid w:val="00920E93"/>
    <w:rsid w:val="009275C2"/>
    <w:rsid w:val="009366A0"/>
    <w:rsid w:val="00956F2E"/>
    <w:rsid w:val="00957465"/>
    <w:rsid w:val="00963214"/>
    <w:rsid w:val="00963B6C"/>
    <w:rsid w:val="00996FBA"/>
    <w:rsid w:val="009A2949"/>
    <w:rsid w:val="009C5010"/>
    <w:rsid w:val="009D0419"/>
    <w:rsid w:val="009D20E7"/>
    <w:rsid w:val="009D79DD"/>
    <w:rsid w:val="009E405D"/>
    <w:rsid w:val="00A001CB"/>
    <w:rsid w:val="00A06A20"/>
    <w:rsid w:val="00A35A90"/>
    <w:rsid w:val="00A37C91"/>
    <w:rsid w:val="00A4082E"/>
    <w:rsid w:val="00A42FFF"/>
    <w:rsid w:val="00A43C40"/>
    <w:rsid w:val="00A5090E"/>
    <w:rsid w:val="00A57694"/>
    <w:rsid w:val="00A655EC"/>
    <w:rsid w:val="00A744E5"/>
    <w:rsid w:val="00A8075C"/>
    <w:rsid w:val="00A8348E"/>
    <w:rsid w:val="00A83B3C"/>
    <w:rsid w:val="00A87B64"/>
    <w:rsid w:val="00A978EE"/>
    <w:rsid w:val="00AB01C3"/>
    <w:rsid w:val="00AC5C74"/>
    <w:rsid w:val="00AC653B"/>
    <w:rsid w:val="00AE6546"/>
    <w:rsid w:val="00AF6486"/>
    <w:rsid w:val="00B07D4C"/>
    <w:rsid w:val="00B24D0A"/>
    <w:rsid w:val="00B272DE"/>
    <w:rsid w:val="00B359E5"/>
    <w:rsid w:val="00B40661"/>
    <w:rsid w:val="00B45A86"/>
    <w:rsid w:val="00B5244D"/>
    <w:rsid w:val="00B53465"/>
    <w:rsid w:val="00B644D6"/>
    <w:rsid w:val="00B71AC5"/>
    <w:rsid w:val="00B7285D"/>
    <w:rsid w:val="00B756F4"/>
    <w:rsid w:val="00B77BBC"/>
    <w:rsid w:val="00B8175D"/>
    <w:rsid w:val="00B82C6C"/>
    <w:rsid w:val="00B91699"/>
    <w:rsid w:val="00B9228E"/>
    <w:rsid w:val="00B96051"/>
    <w:rsid w:val="00B960AD"/>
    <w:rsid w:val="00BB27D6"/>
    <w:rsid w:val="00BE0201"/>
    <w:rsid w:val="00BE3E48"/>
    <w:rsid w:val="00BE52C6"/>
    <w:rsid w:val="00BE7BE6"/>
    <w:rsid w:val="00BF30A9"/>
    <w:rsid w:val="00BF62D6"/>
    <w:rsid w:val="00C13B18"/>
    <w:rsid w:val="00C35192"/>
    <w:rsid w:val="00C47397"/>
    <w:rsid w:val="00C91D69"/>
    <w:rsid w:val="00C926AA"/>
    <w:rsid w:val="00CA3732"/>
    <w:rsid w:val="00CB1B2B"/>
    <w:rsid w:val="00CB6AC0"/>
    <w:rsid w:val="00CD28E6"/>
    <w:rsid w:val="00CD436E"/>
    <w:rsid w:val="00CD7949"/>
    <w:rsid w:val="00CE073C"/>
    <w:rsid w:val="00CE0EE8"/>
    <w:rsid w:val="00CE26FB"/>
    <w:rsid w:val="00CE561D"/>
    <w:rsid w:val="00CF08D7"/>
    <w:rsid w:val="00CF0D72"/>
    <w:rsid w:val="00D05F68"/>
    <w:rsid w:val="00D14F18"/>
    <w:rsid w:val="00D161AD"/>
    <w:rsid w:val="00D21EA3"/>
    <w:rsid w:val="00D23D01"/>
    <w:rsid w:val="00D2708D"/>
    <w:rsid w:val="00D321FF"/>
    <w:rsid w:val="00D32924"/>
    <w:rsid w:val="00D455B7"/>
    <w:rsid w:val="00D53079"/>
    <w:rsid w:val="00D6101E"/>
    <w:rsid w:val="00D61D13"/>
    <w:rsid w:val="00D861BC"/>
    <w:rsid w:val="00D94341"/>
    <w:rsid w:val="00D945C2"/>
    <w:rsid w:val="00D94B03"/>
    <w:rsid w:val="00D94FF5"/>
    <w:rsid w:val="00DA14FA"/>
    <w:rsid w:val="00DA2C72"/>
    <w:rsid w:val="00DA465B"/>
    <w:rsid w:val="00DB1B75"/>
    <w:rsid w:val="00DD58B9"/>
    <w:rsid w:val="00DE09E6"/>
    <w:rsid w:val="00DF227C"/>
    <w:rsid w:val="00DF4131"/>
    <w:rsid w:val="00DF621A"/>
    <w:rsid w:val="00E023F7"/>
    <w:rsid w:val="00E13599"/>
    <w:rsid w:val="00E31E5B"/>
    <w:rsid w:val="00E46306"/>
    <w:rsid w:val="00E52735"/>
    <w:rsid w:val="00E52865"/>
    <w:rsid w:val="00E620AC"/>
    <w:rsid w:val="00E666D0"/>
    <w:rsid w:val="00E96286"/>
    <w:rsid w:val="00E9728F"/>
    <w:rsid w:val="00E973E3"/>
    <w:rsid w:val="00EA14FE"/>
    <w:rsid w:val="00EA261D"/>
    <w:rsid w:val="00EA2B4B"/>
    <w:rsid w:val="00EE48FA"/>
    <w:rsid w:val="00EE4A65"/>
    <w:rsid w:val="00F02F5E"/>
    <w:rsid w:val="00F0464C"/>
    <w:rsid w:val="00F16DEF"/>
    <w:rsid w:val="00F22449"/>
    <w:rsid w:val="00F24B07"/>
    <w:rsid w:val="00F351E3"/>
    <w:rsid w:val="00F439B3"/>
    <w:rsid w:val="00F44258"/>
    <w:rsid w:val="00F636A7"/>
    <w:rsid w:val="00F957E7"/>
    <w:rsid w:val="00FB4DF7"/>
    <w:rsid w:val="00FB61DF"/>
    <w:rsid w:val="00FC37B1"/>
    <w:rsid w:val="00FC717D"/>
    <w:rsid w:val="00FD61B1"/>
    <w:rsid w:val="00FF0451"/>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7B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7B64"/>
    <w:rPr>
      <w:rFonts w:asciiTheme="majorHAnsi" w:eastAsiaTheme="majorEastAsia" w:hAnsiTheme="majorHAnsi" w:cstheme="majorBidi"/>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4C93D-6869-4430-BDC0-A43912AA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5</Pages>
  <Words>411</Words>
  <Characters>2345</Characters>
  <Application>Microsoft Office Word</Application>
  <DocSecurity>0</DocSecurity>
  <Lines>19</Lines>
  <Paragraphs>5</Paragraphs>
  <ScaleCrop>false</ScaleCrop>
  <Company>CDIC</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c137</dc:creator>
  <cp:lastModifiedBy>c148</cp:lastModifiedBy>
  <cp:revision>62</cp:revision>
  <cp:lastPrinted>2019-02-18T05:43:00Z</cp:lastPrinted>
  <dcterms:created xsi:type="dcterms:W3CDTF">2018-01-16T01:38:00Z</dcterms:created>
  <dcterms:modified xsi:type="dcterms:W3CDTF">2019-08-05T11:12:00Z</dcterms:modified>
</cp:coreProperties>
</file>