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7D" w:rsidRPr="002770C2" w:rsidRDefault="004E67EB" w:rsidP="0036760B">
      <w:pPr>
        <w:spacing w:line="460" w:lineRule="exact"/>
        <w:ind w:left="1410" w:rightChars="-82" w:right="-197" w:hanging="1410"/>
        <w:jc w:val="center"/>
        <w:rPr>
          <w:rFonts w:ascii="標楷體" w:eastAsia="標楷體" w:hAnsi="標楷體"/>
          <w:b/>
          <w:sz w:val="32"/>
          <w:szCs w:val="32"/>
        </w:rPr>
      </w:pPr>
      <w:r w:rsidRPr="002770C2">
        <w:rPr>
          <w:rFonts w:ascii="標楷體" w:eastAsia="標楷體" w:hAnsi="標楷體"/>
          <w:b/>
          <w:sz w:val="32"/>
          <w:szCs w:val="32"/>
        </w:rPr>
        <w:t>風險指標資料</w:t>
      </w:r>
      <w:r w:rsidRPr="002770C2">
        <w:rPr>
          <w:rFonts w:ascii="標楷體" w:eastAsia="標楷體" w:hAnsi="標楷體" w:hint="eastAsia"/>
          <w:b/>
          <w:sz w:val="32"/>
          <w:szCs w:val="32"/>
        </w:rPr>
        <w:t>查核缺失態樣</w:t>
      </w:r>
      <w:r w:rsidR="00DF287D" w:rsidRPr="002770C2">
        <w:rPr>
          <w:rFonts w:ascii="標楷體" w:eastAsia="標楷體" w:hAnsi="標楷體" w:hint="eastAsia"/>
          <w:b/>
          <w:sz w:val="32"/>
          <w:szCs w:val="32"/>
        </w:rPr>
        <w:t>（10</w:t>
      </w:r>
      <w:r w:rsidR="003566CD" w:rsidRPr="002770C2">
        <w:rPr>
          <w:rFonts w:ascii="標楷體" w:eastAsia="標楷體" w:hAnsi="標楷體" w:hint="eastAsia"/>
          <w:b/>
          <w:sz w:val="32"/>
          <w:szCs w:val="32"/>
        </w:rPr>
        <w:t>9</w:t>
      </w:r>
      <w:r w:rsidR="00DF287D" w:rsidRPr="002770C2">
        <w:rPr>
          <w:rFonts w:ascii="標楷體" w:eastAsia="標楷體" w:hAnsi="標楷體" w:hint="eastAsia"/>
          <w:b/>
          <w:sz w:val="32"/>
          <w:szCs w:val="32"/>
        </w:rPr>
        <w:t>年</w:t>
      </w:r>
      <w:r w:rsidR="005368F5" w:rsidRPr="002770C2">
        <w:rPr>
          <w:rFonts w:ascii="標楷體" w:eastAsia="標楷體" w:hAnsi="標楷體" w:hint="eastAsia"/>
          <w:b/>
          <w:sz w:val="32"/>
          <w:szCs w:val="32"/>
        </w:rPr>
        <w:t>下</w:t>
      </w:r>
      <w:r w:rsidR="000A0EF2" w:rsidRPr="002770C2">
        <w:rPr>
          <w:rFonts w:ascii="標楷體" w:eastAsia="標楷體" w:hAnsi="標楷體" w:hint="eastAsia"/>
          <w:b/>
          <w:sz w:val="32"/>
          <w:szCs w:val="32"/>
        </w:rPr>
        <w:t>半年</w:t>
      </w:r>
      <w:r w:rsidR="00DF287D" w:rsidRPr="002770C2">
        <w:rPr>
          <w:rFonts w:ascii="標楷體" w:eastAsia="標楷體" w:hAnsi="標楷體" w:hint="eastAsia"/>
          <w:b/>
          <w:sz w:val="32"/>
          <w:szCs w:val="32"/>
        </w:rPr>
        <w:t>）</w:t>
      </w:r>
    </w:p>
    <w:p w:rsidR="004E67EB" w:rsidRPr="002770C2" w:rsidRDefault="00DF287D" w:rsidP="00DF287D">
      <w:pPr>
        <w:jc w:val="center"/>
        <w:rPr>
          <w:rFonts w:ascii="標楷體" w:eastAsia="標楷體" w:hAnsi="標楷體"/>
          <w:b/>
          <w:sz w:val="32"/>
          <w:szCs w:val="32"/>
        </w:rPr>
      </w:pPr>
      <w:r w:rsidRPr="002770C2">
        <w:rPr>
          <w:rFonts w:ascii="標楷體" w:eastAsia="標楷體" w:hAnsi="標楷體" w:hint="eastAsia"/>
          <w:b/>
          <w:sz w:val="32"/>
          <w:szCs w:val="32"/>
        </w:rPr>
        <w:t>金融機構類別：信用合作社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76D42" w:rsidRPr="002770C2" w:rsidTr="00EC4494">
        <w:trPr>
          <w:trHeight w:val="4374"/>
        </w:trPr>
        <w:tc>
          <w:tcPr>
            <w:tcW w:w="8889" w:type="dxa"/>
          </w:tcPr>
          <w:p w:rsidR="008D0AF9" w:rsidRPr="002770C2" w:rsidRDefault="00DF287D" w:rsidP="008D0AF9">
            <w:pPr>
              <w:spacing w:line="460" w:lineRule="exact"/>
              <w:ind w:left="1693" w:hanging="1693"/>
              <w:jc w:val="both"/>
              <w:rPr>
                <w:rFonts w:ascii="標楷體" w:eastAsia="標楷體" w:hAnsi="標楷體"/>
                <w:b/>
                <w:sz w:val="28"/>
                <w:szCs w:val="28"/>
              </w:rPr>
            </w:pPr>
            <w:r w:rsidRPr="002770C2">
              <w:rPr>
                <w:rFonts w:ascii="標楷體" w:eastAsia="標楷體" w:hAnsi="標楷體" w:hint="eastAsia"/>
                <w:b/>
                <w:sz w:val="28"/>
                <w:szCs w:val="28"/>
              </w:rPr>
              <w:t>態樣</w:t>
            </w:r>
            <w:proofErr w:type="gramStart"/>
            <w:r w:rsidRPr="002770C2">
              <w:rPr>
                <w:rFonts w:ascii="標楷體" w:eastAsia="標楷體" w:hAnsi="標楷體" w:hint="eastAsia"/>
                <w:b/>
                <w:sz w:val="28"/>
                <w:szCs w:val="28"/>
              </w:rPr>
              <w:t>一</w:t>
            </w:r>
            <w:proofErr w:type="gramEnd"/>
            <w:r w:rsidRPr="002770C2">
              <w:rPr>
                <w:rFonts w:ascii="標楷體" w:eastAsia="標楷體" w:hAnsi="標楷體" w:hint="eastAsia"/>
                <w:b/>
                <w:sz w:val="28"/>
                <w:szCs w:val="28"/>
              </w:rPr>
              <w:t>：</w:t>
            </w:r>
            <w:r w:rsidR="008D0AF9" w:rsidRPr="002770C2">
              <w:rPr>
                <w:rFonts w:ascii="標楷體" w:eastAsia="標楷體" w:hAnsi="標楷體" w:hint="eastAsia"/>
                <w:b/>
                <w:sz w:val="28"/>
                <w:szCs w:val="28"/>
              </w:rPr>
              <w:t>應予評估資產申報及分類錯誤：</w:t>
            </w:r>
          </w:p>
          <w:p w:rsidR="00CD3447" w:rsidRPr="002770C2" w:rsidRDefault="00724D22" w:rsidP="00B66228">
            <w:pPr>
              <w:pStyle w:val="a3"/>
              <w:numPr>
                <w:ilvl w:val="0"/>
                <w:numId w:val="11"/>
              </w:numPr>
              <w:spacing w:line="460" w:lineRule="exact"/>
              <w:ind w:leftChars="0" w:left="1410" w:hanging="284"/>
              <w:jc w:val="both"/>
              <w:rPr>
                <w:rFonts w:ascii="標楷體" w:eastAsia="標楷體" w:hAnsi="標楷體"/>
                <w:b/>
                <w:sz w:val="28"/>
                <w:szCs w:val="28"/>
              </w:rPr>
            </w:pPr>
            <w:r w:rsidRPr="002770C2">
              <w:rPr>
                <w:rFonts w:ascii="標楷體" w:eastAsia="標楷體" w:hAnsi="標楷體" w:hint="eastAsia"/>
                <w:b/>
                <w:sz w:val="28"/>
                <w:szCs w:val="28"/>
              </w:rPr>
              <w:t>借戶</w:t>
            </w:r>
            <w:r w:rsidR="00AD74CA" w:rsidRPr="002770C2">
              <w:rPr>
                <w:rFonts w:ascii="標楷體" w:eastAsia="標楷體" w:hAnsi="標楷體" w:hint="eastAsia"/>
                <w:b/>
                <w:sz w:val="28"/>
                <w:szCs w:val="28"/>
              </w:rPr>
              <w:t>放款本息雖未超逾清償期，</w:t>
            </w:r>
            <w:proofErr w:type="gramStart"/>
            <w:r w:rsidR="00AD74CA" w:rsidRPr="002770C2">
              <w:rPr>
                <w:rFonts w:ascii="標楷體" w:eastAsia="標楷體" w:hAnsi="標楷體" w:hint="eastAsia"/>
                <w:b/>
                <w:sz w:val="28"/>
                <w:szCs w:val="28"/>
              </w:rPr>
              <w:t>惟債信已有貶落</w:t>
            </w:r>
            <w:proofErr w:type="gramEnd"/>
            <w:r w:rsidR="00AD74CA" w:rsidRPr="002770C2">
              <w:rPr>
                <w:rFonts w:ascii="標楷體" w:eastAsia="標楷體" w:hAnsi="標楷體" w:hint="eastAsia"/>
                <w:b/>
                <w:sz w:val="28"/>
                <w:szCs w:val="28"/>
              </w:rPr>
              <w:t>情形</w:t>
            </w:r>
            <w:r w:rsidR="00CD3447" w:rsidRPr="002770C2">
              <w:rPr>
                <w:rFonts w:ascii="標楷體" w:eastAsia="標楷體" w:hAnsi="標楷體" w:hint="eastAsia"/>
                <w:b/>
                <w:sz w:val="28"/>
                <w:szCs w:val="28"/>
              </w:rPr>
              <w:t>，該等放款及其應提列應收利息，漏未列入評估，如：</w:t>
            </w:r>
          </w:p>
          <w:p w:rsidR="00CD3447" w:rsidRPr="002770C2" w:rsidRDefault="00CD3447" w:rsidP="00BF166A">
            <w:pPr>
              <w:pStyle w:val="a3"/>
              <w:numPr>
                <w:ilvl w:val="0"/>
                <w:numId w:val="15"/>
              </w:numPr>
              <w:spacing w:line="460" w:lineRule="exact"/>
              <w:ind w:leftChars="0" w:left="1835" w:hanging="425"/>
              <w:jc w:val="both"/>
              <w:rPr>
                <w:rFonts w:ascii="標楷體" w:eastAsia="標楷體" w:hAnsi="標楷體"/>
                <w:b/>
                <w:sz w:val="28"/>
                <w:szCs w:val="28"/>
              </w:rPr>
            </w:pPr>
            <w:r w:rsidRPr="002770C2">
              <w:rPr>
                <w:rFonts w:ascii="標楷體" w:eastAsia="標楷體" w:hAnsi="標楷體" w:hint="eastAsia"/>
                <w:b/>
                <w:sz w:val="28"/>
                <w:szCs w:val="28"/>
              </w:rPr>
              <w:t>借戶有多筆借款</w:t>
            </w:r>
            <w:r w:rsidR="00BF166A" w:rsidRPr="002770C2">
              <w:rPr>
                <w:rFonts w:ascii="標楷體" w:eastAsia="標楷體" w:hAnsi="標楷體" w:hint="eastAsia"/>
                <w:b/>
                <w:sz w:val="28"/>
                <w:szCs w:val="28"/>
              </w:rPr>
              <w:t>，</w:t>
            </w:r>
            <w:r w:rsidRPr="002770C2">
              <w:rPr>
                <w:rFonts w:ascii="標楷體" w:eastAsia="標楷體" w:hAnsi="標楷體" w:hint="eastAsia"/>
                <w:b/>
                <w:sz w:val="28"/>
                <w:szCs w:val="28"/>
              </w:rPr>
              <w:t>其中有本息延滯逾1個月以上</w:t>
            </w:r>
            <w:r w:rsidR="00BF166A" w:rsidRPr="002770C2">
              <w:rPr>
                <w:rFonts w:ascii="標楷體" w:eastAsia="標楷體" w:hAnsi="標楷體" w:hint="eastAsia"/>
                <w:b/>
                <w:sz w:val="28"/>
                <w:szCs w:val="28"/>
              </w:rPr>
              <w:t>。</w:t>
            </w:r>
          </w:p>
          <w:p w:rsidR="00B66228" w:rsidRPr="00B66228" w:rsidRDefault="00724D22" w:rsidP="00BF166A">
            <w:pPr>
              <w:pStyle w:val="a3"/>
              <w:numPr>
                <w:ilvl w:val="0"/>
                <w:numId w:val="15"/>
              </w:numPr>
              <w:spacing w:line="460" w:lineRule="exact"/>
              <w:ind w:leftChars="0" w:left="1835" w:hanging="425"/>
              <w:jc w:val="both"/>
              <w:rPr>
                <w:rFonts w:ascii="標楷體" w:eastAsia="標楷體" w:hAnsi="標楷體"/>
                <w:b/>
                <w:sz w:val="28"/>
                <w:szCs w:val="28"/>
              </w:rPr>
            </w:pPr>
            <w:r w:rsidRPr="00B66228">
              <w:rPr>
                <w:rFonts w:ascii="標楷體" w:eastAsia="標楷體" w:hAnsi="標楷體" w:hint="eastAsia"/>
                <w:b/>
                <w:sz w:val="28"/>
                <w:szCs w:val="28"/>
              </w:rPr>
              <w:t>支票存款</w:t>
            </w:r>
            <w:r w:rsidR="00B66228" w:rsidRPr="00B66228">
              <w:rPr>
                <w:rFonts w:ascii="標楷體" w:eastAsia="標楷體" w:hAnsi="標楷體" w:hint="eastAsia"/>
                <w:b/>
                <w:sz w:val="28"/>
                <w:szCs w:val="28"/>
              </w:rPr>
              <w:t>遭受拒絕往來戶處分。</w:t>
            </w:r>
          </w:p>
          <w:p w:rsidR="00CD3447" w:rsidRPr="002770C2"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2770C2">
              <w:rPr>
                <w:rFonts w:ascii="標楷體" w:eastAsia="標楷體" w:hAnsi="標楷體" w:hint="eastAsia"/>
                <w:b/>
                <w:sz w:val="28"/>
                <w:szCs w:val="28"/>
              </w:rPr>
              <w:t>支票存款</w:t>
            </w:r>
            <w:r w:rsidR="00724D22" w:rsidRPr="002770C2">
              <w:rPr>
                <w:rFonts w:ascii="標楷體" w:eastAsia="標楷體" w:hAnsi="標楷體" w:hint="eastAsia"/>
                <w:b/>
                <w:sz w:val="28"/>
                <w:szCs w:val="28"/>
              </w:rPr>
              <w:t>有</w:t>
            </w:r>
            <w:r w:rsidR="0001718E" w:rsidRPr="002770C2">
              <w:rPr>
                <w:rFonts w:ascii="標楷體" w:eastAsia="標楷體" w:hAnsi="標楷體" w:hint="eastAsia"/>
                <w:b/>
                <w:sz w:val="28"/>
                <w:szCs w:val="28"/>
              </w:rPr>
              <w:t>存款不足</w:t>
            </w:r>
            <w:r w:rsidR="00724D22" w:rsidRPr="002770C2">
              <w:rPr>
                <w:rFonts w:ascii="標楷體" w:eastAsia="標楷體" w:hAnsi="標楷體" w:hint="eastAsia"/>
                <w:b/>
                <w:sz w:val="28"/>
                <w:szCs w:val="28"/>
              </w:rPr>
              <w:t>退票記錄</w:t>
            </w:r>
            <w:r w:rsidR="00AD74CA" w:rsidRPr="002770C2">
              <w:rPr>
                <w:rFonts w:ascii="標楷體" w:eastAsia="標楷體" w:hAnsi="標楷體" w:hint="eastAsia"/>
                <w:b/>
                <w:sz w:val="28"/>
                <w:szCs w:val="28"/>
              </w:rPr>
              <w:t>且有</w:t>
            </w:r>
            <w:proofErr w:type="gramStart"/>
            <w:r w:rsidR="00AD74CA" w:rsidRPr="002770C2">
              <w:rPr>
                <w:rFonts w:ascii="標楷體" w:eastAsia="標楷體" w:hAnsi="標楷體" w:hint="eastAsia"/>
                <w:b/>
                <w:sz w:val="28"/>
                <w:szCs w:val="28"/>
              </w:rPr>
              <w:t>繳息延滯</w:t>
            </w:r>
            <w:proofErr w:type="gramEnd"/>
            <w:r w:rsidR="00AD74CA" w:rsidRPr="002770C2">
              <w:rPr>
                <w:rFonts w:ascii="標楷體" w:eastAsia="標楷體" w:hAnsi="標楷體" w:hint="eastAsia"/>
                <w:b/>
                <w:sz w:val="28"/>
                <w:szCs w:val="28"/>
              </w:rPr>
              <w:t>情形</w:t>
            </w:r>
            <w:r w:rsidR="00BF166A" w:rsidRPr="002770C2">
              <w:rPr>
                <w:rFonts w:ascii="標楷體" w:eastAsia="標楷體" w:hAnsi="標楷體" w:hint="eastAsia"/>
                <w:b/>
                <w:sz w:val="28"/>
                <w:szCs w:val="28"/>
              </w:rPr>
              <w:t>。</w:t>
            </w:r>
          </w:p>
          <w:p w:rsidR="00B66228" w:rsidRPr="00B66228"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B66228">
              <w:rPr>
                <w:rFonts w:ascii="標楷體" w:eastAsia="標楷體" w:hAnsi="標楷體" w:hint="eastAsia"/>
                <w:b/>
                <w:sz w:val="28"/>
                <w:szCs w:val="28"/>
              </w:rPr>
              <w:t>已對主、從債務人</w:t>
            </w:r>
            <w:proofErr w:type="gramStart"/>
            <w:r w:rsidRPr="00B66228">
              <w:rPr>
                <w:rFonts w:ascii="標楷體" w:eastAsia="標楷體" w:hAnsi="標楷體" w:hint="eastAsia"/>
                <w:b/>
                <w:sz w:val="28"/>
                <w:szCs w:val="28"/>
              </w:rPr>
              <w:t>訴追或處分</w:t>
            </w:r>
            <w:proofErr w:type="gramEnd"/>
            <w:r w:rsidRPr="00B66228">
              <w:rPr>
                <w:rFonts w:ascii="標楷體" w:eastAsia="標楷體" w:hAnsi="標楷體" w:hint="eastAsia"/>
                <w:b/>
                <w:sz w:val="28"/>
                <w:szCs w:val="28"/>
              </w:rPr>
              <w:t>擔保品。</w:t>
            </w:r>
          </w:p>
          <w:p w:rsidR="00CD3447" w:rsidRPr="00B66228" w:rsidRDefault="00AD74CA" w:rsidP="00BF166A">
            <w:pPr>
              <w:pStyle w:val="a3"/>
              <w:numPr>
                <w:ilvl w:val="0"/>
                <w:numId w:val="15"/>
              </w:numPr>
              <w:spacing w:line="460" w:lineRule="exact"/>
              <w:ind w:leftChars="0" w:left="1835" w:hanging="425"/>
              <w:jc w:val="both"/>
              <w:rPr>
                <w:rFonts w:ascii="標楷體" w:eastAsia="標楷體" w:hAnsi="標楷體"/>
                <w:b/>
                <w:sz w:val="28"/>
                <w:szCs w:val="28"/>
              </w:rPr>
            </w:pPr>
            <w:r w:rsidRPr="00B66228">
              <w:rPr>
                <w:rFonts w:ascii="標楷體" w:eastAsia="標楷體" w:hAnsi="標楷體" w:hint="eastAsia"/>
                <w:b/>
                <w:sz w:val="28"/>
                <w:szCs w:val="28"/>
              </w:rPr>
              <w:t>擔保品</w:t>
            </w:r>
            <w:r w:rsidR="00B66228" w:rsidRPr="00B66228">
              <w:rPr>
                <w:rFonts w:ascii="標楷體" w:eastAsia="標楷體" w:hAnsi="標楷體" w:hint="eastAsia"/>
                <w:b/>
                <w:sz w:val="28"/>
                <w:szCs w:val="28"/>
              </w:rPr>
              <w:t>、存款或股金</w:t>
            </w:r>
            <w:r w:rsidRPr="00B66228">
              <w:rPr>
                <w:rFonts w:ascii="標楷體" w:eastAsia="標楷體" w:hAnsi="標楷體" w:hint="eastAsia"/>
                <w:b/>
                <w:sz w:val="28"/>
                <w:szCs w:val="28"/>
              </w:rPr>
              <w:t>已遭第三人扣押</w:t>
            </w:r>
            <w:r w:rsidR="00BF166A" w:rsidRPr="00B66228">
              <w:rPr>
                <w:rFonts w:ascii="標楷體" w:eastAsia="標楷體" w:hAnsi="標楷體" w:hint="eastAsia"/>
                <w:b/>
                <w:sz w:val="28"/>
                <w:szCs w:val="28"/>
              </w:rPr>
              <w:t>。</w:t>
            </w:r>
          </w:p>
          <w:p w:rsidR="00B66228" w:rsidRPr="00B66228" w:rsidRDefault="00B66228" w:rsidP="00BF166A">
            <w:pPr>
              <w:pStyle w:val="a3"/>
              <w:numPr>
                <w:ilvl w:val="0"/>
                <w:numId w:val="15"/>
              </w:numPr>
              <w:spacing w:line="460" w:lineRule="exact"/>
              <w:ind w:leftChars="0" w:left="1835" w:hanging="425"/>
              <w:jc w:val="both"/>
              <w:rPr>
                <w:rFonts w:hAnsi="標楷體"/>
                <w:b/>
                <w:szCs w:val="28"/>
              </w:rPr>
            </w:pPr>
            <w:r w:rsidRPr="00B66228">
              <w:rPr>
                <w:rFonts w:ascii="標楷體" w:eastAsia="標楷體" w:hAnsi="標楷體" w:hint="eastAsia"/>
                <w:b/>
                <w:sz w:val="28"/>
                <w:szCs w:val="28"/>
              </w:rPr>
              <w:t>為他人之保證人，他人借款已為呆帳戶。</w:t>
            </w:r>
          </w:p>
          <w:p w:rsidR="00564A35" w:rsidRPr="00B66228" w:rsidRDefault="00CD3447" w:rsidP="00BF166A">
            <w:pPr>
              <w:pStyle w:val="a3"/>
              <w:numPr>
                <w:ilvl w:val="0"/>
                <w:numId w:val="15"/>
              </w:numPr>
              <w:spacing w:line="460" w:lineRule="exact"/>
              <w:ind w:leftChars="0" w:left="1835" w:hanging="425"/>
              <w:jc w:val="both"/>
              <w:rPr>
                <w:rFonts w:hAnsi="標楷體"/>
                <w:b/>
                <w:szCs w:val="28"/>
              </w:rPr>
            </w:pPr>
            <w:r w:rsidRPr="002770C2">
              <w:rPr>
                <w:rFonts w:ascii="標楷體" w:eastAsia="標楷體" w:hAnsi="標楷體" w:hint="eastAsia"/>
                <w:b/>
                <w:sz w:val="28"/>
                <w:szCs w:val="28"/>
              </w:rPr>
              <w:t>依「消費者債務清理條例」辦理債務協商</w:t>
            </w:r>
            <w:r w:rsidR="00BF166A" w:rsidRPr="002770C2">
              <w:rPr>
                <w:rFonts w:ascii="標楷體" w:eastAsia="標楷體" w:hAnsi="標楷體" w:hint="eastAsia"/>
                <w:b/>
                <w:sz w:val="28"/>
                <w:szCs w:val="28"/>
              </w:rPr>
              <w:t>者。</w:t>
            </w:r>
          </w:p>
          <w:p w:rsidR="00BF166A" w:rsidRPr="00B66228" w:rsidRDefault="00BF166A" w:rsidP="00B66228">
            <w:pPr>
              <w:pStyle w:val="a3"/>
              <w:numPr>
                <w:ilvl w:val="0"/>
                <w:numId w:val="11"/>
              </w:numPr>
              <w:spacing w:line="460" w:lineRule="exact"/>
              <w:ind w:leftChars="0" w:left="1410" w:hanging="284"/>
              <w:jc w:val="both"/>
              <w:rPr>
                <w:rFonts w:hAnsi="標楷體"/>
                <w:b/>
                <w:szCs w:val="28"/>
              </w:rPr>
            </w:pPr>
            <w:r w:rsidRPr="002770C2">
              <w:rPr>
                <w:rFonts w:ascii="標楷體" w:eastAsia="標楷體" w:hAnsi="標楷體" w:hint="eastAsia"/>
                <w:b/>
                <w:sz w:val="28"/>
                <w:szCs w:val="28"/>
              </w:rPr>
              <w:t>呆帳戶之墊付訴訟費用評估分類錯誤。</w:t>
            </w:r>
          </w:p>
          <w:p w:rsidR="00B66228" w:rsidRPr="002770C2" w:rsidRDefault="00B66228" w:rsidP="00B66228">
            <w:pPr>
              <w:pStyle w:val="a3"/>
              <w:spacing w:line="460" w:lineRule="exact"/>
              <w:ind w:leftChars="0" w:left="1486" w:firstLine="0"/>
              <w:jc w:val="both"/>
              <w:rPr>
                <w:rFonts w:hAnsi="標楷體"/>
                <w:b/>
                <w:szCs w:val="28"/>
              </w:rPr>
            </w:pPr>
          </w:p>
        </w:tc>
      </w:tr>
    </w:tbl>
    <w:p w:rsidR="004E67EB" w:rsidRPr="002770C2" w:rsidRDefault="004E67EB" w:rsidP="00CD1A4B">
      <w:pPr>
        <w:spacing w:line="460" w:lineRule="exact"/>
        <w:ind w:left="1418" w:hanging="1276"/>
        <w:rPr>
          <w:rFonts w:ascii="標楷體" w:eastAsia="標楷體" w:hAnsi="標楷體" w:cs="Times New Roman"/>
          <w:b/>
          <w:sz w:val="28"/>
          <w:szCs w:val="28"/>
        </w:rPr>
      </w:pPr>
      <w:r w:rsidRPr="002770C2">
        <w:rPr>
          <w:rFonts w:ascii="標楷體" w:eastAsia="標楷體" w:hAnsi="標楷體" w:cs="Times New Roman" w:hint="eastAsia"/>
          <w:b/>
          <w:sz w:val="28"/>
          <w:szCs w:val="28"/>
        </w:rPr>
        <w:t>改善作法：</w:t>
      </w:r>
    </w:p>
    <w:p w:rsidR="004E1741" w:rsidRPr="002770C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2770C2">
        <w:rPr>
          <w:rFonts w:ascii="標楷體" w:eastAsia="標楷體" w:hAnsi="標楷體" w:cs="Times New Roman" w:hint="eastAsia"/>
          <w:sz w:val="28"/>
          <w:szCs w:val="28"/>
        </w:rPr>
        <w:t>參考法規：</w:t>
      </w:r>
    </w:p>
    <w:p w:rsidR="008D0AF9" w:rsidRPr="002770C2" w:rsidRDefault="008D0AF9" w:rsidP="00EF1040">
      <w:pPr>
        <w:spacing w:line="460" w:lineRule="exact"/>
        <w:ind w:left="426"/>
        <w:jc w:val="both"/>
        <w:rPr>
          <w:rFonts w:ascii="標楷體" w:eastAsia="標楷體" w:hAnsi="標楷體" w:cs="Times New Roman"/>
          <w:sz w:val="28"/>
          <w:szCs w:val="28"/>
        </w:rPr>
      </w:pPr>
      <w:r w:rsidRPr="002770C2">
        <w:rPr>
          <w:rFonts w:ascii="標楷體" w:eastAsia="標楷體" w:hAnsi="標楷體" w:cs="Times New Roman"/>
          <w:sz w:val="28"/>
          <w:szCs w:val="28"/>
        </w:rPr>
        <w:t>信用合作社資產評估損失準備提列及逾期放款催收款呆帳處理辦法</w:t>
      </w:r>
      <w:r w:rsidRPr="002770C2">
        <w:rPr>
          <w:rFonts w:ascii="標楷體" w:eastAsia="標楷體" w:hAnsi="標楷體" w:cs="Times New Roman" w:hint="eastAsia"/>
          <w:sz w:val="28"/>
          <w:szCs w:val="28"/>
        </w:rPr>
        <w:t>。</w:t>
      </w:r>
    </w:p>
    <w:p w:rsidR="008D0AF9" w:rsidRPr="002770C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2770C2">
        <w:rPr>
          <w:rFonts w:ascii="標楷體" w:eastAsia="標楷體" w:hAnsi="標楷體" w:cs="Times New Roman" w:hint="eastAsia"/>
          <w:sz w:val="28"/>
          <w:szCs w:val="28"/>
        </w:rPr>
        <w:t>依規定填報並落實複核機制。</w:t>
      </w:r>
    </w:p>
    <w:p w:rsidR="008D0AF9" w:rsidRPr="002770C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2770C2">
        <w:rPr>
          <w:rFonts w:ascii="標楷體" w:eastAsia="標楷體" w:hAnsi="標楷體" w:cs="Times New Roman" w:hint="eastAsia"/>
          <w:sz w:val="28"/>
          <w:szCs w:val="28"/>
        </w:rPr>
        <w:t>內部稽核將申報資料正確性列為查核重點。</w:t>
      </w:r>
    </w:p>
    <w:p w:rsidR="00B102E4" w:rsidRPr="002770C2" w:rsidRDefault="00B102E4" w:rsidP="00CD1A4B">
      <w:pPr>
        <w:spacing w:line="460" w:lineRule="exact"/>
        <w:ind w:left="1418"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31CC5" w:rsidRPr="002770C2" w:rsidTr="00EC4494">
        <w:trPr>
          <w:trHeight w:val="447"/>
        </w:trPr>
        <w:tc>
          <w:tcPr>
            <w:tcW w:w="8889" w:type="dxa"/>
          </w:tcPr>
          <w:p w:rsidR="008D0AF9" w:rsidRPr="0072105D" w:rsidRDefault="00DF287D" w:rsidP="00B102E4">
            <w:pPr>
              <w:spacing w:line="460" w:lineRule="exact"/>
              <w:ind w:left="1410" w:hanging="1410"/>
              <w:jc w:val="both"/>
              <w:rPr>
                <w:rFonts w:ascii="標楷體" w:eastAsia="標楷體" w:hAnsi="標楷體"/>
                <w:b/>
                <w:sz w:val="28"/>
                <w:szCs w:val="28"/>
              </w:rPr>
            </w:pPr>
            <w:r w:rsidRPr="00307F7B">
              <w:rPr>
                <w:rFonts w:ascii="標楷體" w:eastAsia="標楷體" w:hAnsi="標楷體" w:hint="eastAsia"/>
                <w:b/>
                <w:sz w:val="28"/>
                <w:szCs w:val="28"/>
              </w:rPr>
              <w:t>態樣二：</w:t>
            </w:r>
            <w:r w:rsidR="008D0AF9" w:rsidRPr="0072105D">
              <w:rPr>
                <w:rFonts w:ascii="標楷體" w:eastAsia="標楷體" w:hAnsi="標楷體" w:hint="eastAsia"/>
                <w:b/>
                <w:sz w:val="28"/>
                <w:szCs w:val="28"/>
              </w:rPr>
              <w:t>資本適足率</w:t>
            </w:r>
            <w:r w:rsidR="00673E24" w:rsidRPr="0072105D">
              <w:rPr>
                <w:rFonts w:ascii="標楷體" w:eastAsia="標楷體" w:hAnsi="標楷體" w:hint="eastAsia"/>
                <w:b/>
                <w:sz w:val="28"/>
                <w:szCs w:val="28"/>
              </w:rPr>
              <w:t>申報有</w:t>
            </w:r>
            <w:r w:rsidR="008D0AF9" w:rsidRPr="0072105D">
              <w:rPr>
                <w:rFonts w:ascii="標楷體" w:eastAsia="標楷體" w:hAnsi="標楷體" w:hint="eastAsia"/>
                <w:b/>
                <w:sz w:val="28"/>
                <w:szCs w:val="28"/>
              </w:rPr>
              <w:t>誤</w:t>
            </w:r>
            <w:r w:rsidR="00673E24" w:rsidRPr="0072105D">
              <w:rPr>
                <w:rFonts w:ascii="標楷體" w:eastAsia="標楷體" w:hAnsi="標楷體" w:hint="eastAsia"/>
                <w:b/>
                <w:sz w:val="28"/>
                <w:szCs w:val="28"/>
              </w:rPr>
              <w:t>差</w:t>
            </w:r>
            <w:r w:rsidR="008D0AF9" w:rsidRPr="0072105D">
              <w:rPr>
                <w:rFonts w:ascii="標楷體" w:eastAsia="標楷體" w:hAnsi="標楷體" w:hint="eastAsia"/>
                <w:b/>
                <w:sz w:val="28"/>
                <w:szCs w:val="28"/>
              </w:rPr>
              <w:t xml:space="preserve">：  </w:t>
            </w:r>
          </w:p>
          <w:p w:rsidR="00477326" w:rsidRPr="0072105D" w:rsidRDefault="00477326" w:rsidP="00893019">
            <w:pPr>
              <w:pStyle w:val="a3"/>
              <w:numPr>
                <w:ilvl w:val="0"/>
                <w:numId w:val="16"/>
              </w:numPr>
              <w:spacing w:line="460" w:lineRule="exact"/>
              <w:ind w:leftChars="0" w:left="1410" w:hanging="276"/>
              <w:jc w:val="both"/>
              <w:rPr>
                <w:rFonts w:ascii="標楷體" w:eastAsia="標楷體" w:hAnsi="標楷體"/>
                <w:b/>
                <w:sz w:val="28"/>
                <w:szCs w:val="28"/>
              </w:rPr>
            </w:pPr>
            <w:r w:rsidRPr="0072105D">
              <w:rPr>
                <w:rFonts w:ascii="標楷體" w:eastAsia="標楷體" w:hAnsi="標楷體" w:hint="eastAsia"/>
                <w:b/>
                <w:sz w:val="28"/>
                <w:szCs w:val="28"/>
              </w:rPr>
              <w:t>自有資本申報錯誤：</w:t>
            </w:r>
          </w:p>
          <w:p w:rsidR="00893019" w:rsidRPr="0072105D" w:rsidRDefault="00893019" w:rsidP="00893019">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(1)</w:t>
            </w:r>
            <w:r w:rsidR="00477326" w:rsidRPr="0072105D">
              <w:rPr>
                <w:rFonts w:ascii="標楷體" w:eastAsia="標楷體" w:hAnsi="標楷體"/>
                <w:b/>
                <w:sz w:val="28"/>
                <w:szCs w:val="28"/>
              </w:rPr>
              <w:t>「股金」未以最近半年日平均股金總額、最近一個月日平均股金總額及填報基準日股金總額之孰低者</w:t>
            </w:r>
            <w:r w:rsidR="005C00D0" w:rsidRPr="0072105D">
              <w:rPr>
                <w:rFonts w:ascii="標楷體" w:eastAsia="標楷體" w:hAnsi="標楷體"/>
                <w:b/>
                <w:sz w:val="28"/>
                <w:szCs w:val="28"/>
              </w:rPr>
              <w:t>計算</w:t>
            </w:r>
            <w:r w:rsidR="00477326" w:rsidRPr="0072105D">
              <w:rPr>
                <w:rFonts w:ascii="標楷體" w:eastAsia="標楷體" w:hAnsi="標楷體" w:hint="eastAsia"/>
                <w:b/>
                <w:sz w:val="28"/>
                <w:szCs w:val="28"/>
              </w:rPr>
              <w:t>。</w:t>
            </w:r>
          </w:p>
          <w:p w:rsidR="00477326" w:rsidRPr="0072105D" w:rsidRDefault="00922ECD" w:rsidP="00893019">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(2)</w:t>
            </w:r>
            <w:r w:rsidR="00477326" w:rsidRPr="0072105D">
              <w:rPr>
                <w:rFonts w:ascii="標楷體" w:eastAsia="標楷體" w:hAnsi="標楷體"/>
                <w:b/>
                <w:sz w:val="28"/>
                <w:szCs w:val="28"/>
              </w:rPr>
              <w:t>誤將</w:t>
            </w:r>
            <w:r w:rsidR="00477326" w:rsidRPr="0072105D">
              <w:rPr>
                <w:rFonts w:ascii="標楷體" w:eastAsia="標楷體" w:hAnsi="標楷體" w:hint="eastAsia"/>
                <w:b/>
                <w:sz w:val="28"/>
                <w:szCs w:val="28"/>
              </w:rPr>
              <w:t>未扣</w:t>
            </w:r>
            <w:r w:rsidR="00477326" w:rsidRPr="0072105D">
              <w:rPr>
                <w:rFonts w:ascii="標楷體" w:eastAsia="標楷體" w:hAnsi="標楷體"/>
                <w:b/>
                <w:sz w:val="28"/>
                <w:szCs w:val="28"/>
              </w:rPr>
              <w:t>預期損失之應收款項備抵呆帳列入第二類資本「營業準備及備抵呆帳」</w:t>
            </w:r>
            <w:r w:rsidR="001933EE" w:rsidRPr="0072105D">
              <w:rPr>
                <w:rFonts w:ascii="標楷體" w:eastAsia="標楷體" w:hAnsi="標楷體" w:hint="eastAsia"/>
                <w:b/>
                <w:sz w:val="28"/>
                <w:szCs w:val="28"/>
              </w:rPr>
              <w:t>計算</w:t>
            </w:r>
            <w:r w:rsidR="00477326" w:rsidRPr="0072105D">
              <w:rPr>
                <w:rFonts w:ascii="標楷體" w:eastAsia="標楷體" w:hAnsi="標楷體"/>
                <w:b/>
                <w:sz w:val="28"/>
                <w:szCs w:val="28"/>
              </w:rPr>
              <w:t>。</w:t>
            </w:r>
          </w:p>
          <w:p w:rsidR="00922ECD" w:rsidRPr="0072105D" w:rsidRDefault="00922ECD" w:rsidP="00922ECD">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(3)</w:t>
            </w:r>
            <w:r w:rsidRPr="0072105D">
              <w:rPr>
                <w:rFonts w:ascii="標楷體" w:eastAsia="標楷體" w:hAnsi="標楷體"/>
                <w:b/>
                <w:sz w:val="28"/>
                <w:szCs w:val="28"/>
              </w:rPr>
              <w:t>對準備金乙戶、存放銀行同業活期存款及投</w:t>
            </w:r>
            <w:r w:rsidRPr="0072105D">
              <w:rPr>
                <w:rFonts w:ascii="標楷體" w:eastAsia="標楷體" w:hAnsi="標楷體" w:hint="eastAsia"/>
                <w:b/>
                <w:sz w:val="28"/>
                <w:szCs w:val="28"/>
              </w:rPr>
              <w:t>資銀行次</w:t>
            </w:r>
            <w:r w:rsidRPr="0072105D">
              <w:rPr>
                <w:rFonts w:ascii="標楷體" w:eastAsia="標楷體" w:hAnsi="標楷體"/>
                <w:b/>
                <w:sz w:val="28"/>
                <w:szCs w:val="28"/>
              </w:rPr>
              <w:t>順位金融債券之利息，係以現金基礎</w:t>
            </w:r>
            <w:proofErr w:type="gramStart"/>
            <w:r w:rsidRPr="0072105D">
              <w:rPr>
                <w:rFonts w:ascii="標楷體" w:eastAsia="標楷體" w:hAnsi="標楷體"/>
                <w:b/>
                <w:sz w:val="28"/>
                <w:szCs w:val="28"/>
              </w:rPr>
              <w:t>入帳</w:t>
            </w:r>
            <w:proofErr w:type="gramEnd"/>
            <w:r w:rsidRPr="0072105D">
              <w:rPr>
                <w:rFonts w:ascii="標楷體" w:eastAsia="標楷體" w:hAnsi="標楷體"/>
                <w:b/>
                <w:sz w:val="28"/>
                <w:szCs w:val="28"/>
              </w:rPr>
              <w:t>，未於月底按權責基礎計提應收利息，</w:t>
            </w:r>
            <w:r w:rsidRPr="0072105D">
              <w:rPr>
                <w:rFonts w:ascii="標楷體" w:eastAsia="標楷體" w:hAnsi="標楷體" w:hint="eastAsia"/>
                <w:b/>
                <w:sz w:val="28"/>
                <w:szCs w:val="28"/>
              </w:rPr>
              <w:t>致</w:t>
            </w:r>
            <w:r w:rsidRPr="0072105D">
              <w:rPr>
                <w:rFonts w:ascii="標楷體" w:eastAsia="標楷體" w:hAnsi="標楷體"/>
                <w:b/>
                <w:sz w:val="28"/>
                <w:szCs w:val="28"/>
              </w:rPr>
              <w:t>利息收入少列，自有資本少列。</w:t>
            </w:r>
          </w:p>
          <w:p w:rsidR="00922ECD" w:rsidRPr="0072105D" w:rsidRDefault="00922ECD" w:rsidP="00922ECD">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lastRenderedPageBreak/>
              <w:t>(4)</w:t>
            </w:r>
            <w:r w:rsidRPr="0072105D">
              <w:rPr>
                <w:rFonts w:ascii="標楷體" w:eastAsia="標楷體" w:hAnsi="標楷體"/>
                <w:b/>
                <w:sz w:val="28"/>
                <w:szCs w:val="28"/>
              </w:rPr>
              <w:t>計算平均損失率時，誤以期末放款餘額加計應收利息計算，未依</w:t>
            </w:r>
            <w:proofErr w:type="gramStart"/>
            <w:r w:rsidRPr="0072105D">
              <w:rPr>
                <w:rFonts w:ascii="標楷體" w:eastAsia="標楷體" w:hAnsi="標楷體"/>
                <w:b/>
                <w:sz w:val="28"/>
                <w:szCs w:val="28"/>
              </w:rPr>
              <w:t>規</w:t>
            </w:r>
            <w:proofErr w:type="gramEnd"/>
            <w:r w:rsidRPr="0072105D">
              <w:rPr>
                <w:rFonts w:ascii="標楷體" w:eastAsia="標楷體" w:hAnsi="標楷體"/>
                <w:b/>
                <w:sz w:val="28"/>
                <w:szCs w:val="28"/>
              </w:rPr>
              <w:t>以期末放款餘額計算，</w:t>
            </w:r>
            <w:r w:rsidRPr="0072105D">
              <w:rPr>
                <w:rFonts w:ascii="標楷體" w:eastAsia="標楷體" w:hAnsi="標楷體" w:hint="eastAsia"/>
                <w:b/>
                <w:sz w:val="28"/>
                <w:szCs w:val="28"/>
              </w:rPr>
              <w:t>致</w:t>
            </w:r>
            <w:r w:rsidRPr="0072105D">
              <w:rPr>
                <w:rFonts w:ascii="標楷體" w:eastAsia="標楷體" w:hAnsi="標楷體"/>
                <w:b/>
                <w:sz w:val="28"/>
                <w:szCs w:val="28"/>
              </w:rPr>
              <w:t>預期損失</w:t>
            </w:r>
            <w:r w:rsidRPr="0072105D">
              <w:rPr>
                <w:rFonts w:ascii="標楷體" w:eastAsia="標楷體" w:hAnsi="標楷體" w:hint="eastAsia"/>
                <w:b/>
                <w:sz w:val="28"/>
                <w:szCs w:val="28"/>
              </w:rPr>
              <w:t>少列</w:t>
            </w:r>
            <w:r w:rsidRPr="0072105D">
              <w:rPr>
                <w:rFonts w:ascii="標楷體" w:eastAsia="標楷體" w:hAnsi="標楷體"/>
                <w:b/>
                <w:sz w:val="28"/>
                <w:szCs w:val="28"/>
              </w:rPr>
              <w:t>，自有資本多列。</w:t>
            </w:r>
          </w:p>
          <w:p w:rsidR="00922ECD" w:rsidRPr="0072105D" w:rsidRDefault="00922ECD" w:rsidP="00922ECD">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(5)當年度收回呆帳金額</w:t>
            </w:r>
            <w:proofErr w:type="gramStart"/>
            <w:r w:rsidRPr="0072105D">
              <w:rPr>
                <w:rFonts w:ascii="標楷體" w:eastAsia="標楷體" w:hAnsi="標楷體" w:hint="eastAsia"/>
                <w:b/>
                <w:sz w:val="28"/>
                <w:szCs w:val="28"/>
              </w:rPr>
              <w:t>未依當年度</w:t>
            </w:r>
            <w:proofErr w:type="gramEnd"/>
            <w:r w:rsidRPr="0072105D">
              <w:rPr>
                <w:rFonts w:ascii="標楷體" w:eastAsia="標楷體" w:hAnsi="標楷體" w:hint="eastAsia"/>
                <w:b/>
                <w:sz w:val="28"/>
                <w:szCs w:val="28"/>
              </w:rPr>
              <w:t>實際收回呆帳金額計算，或當年度轉銷呆帳</w:t>
            </w:r>
            <w:proofErr w:type="gramStart"/>
            <w:r w:rsidRPr="0072105D">
              <w:rPr>
                <w:rFonts w:ascii="標楷體" w:eastAsia="標楷體" w:hAnsi="標楷體" w:hint="eastAsia"/>
                <w:b/>
                <w:sz w:val="28"/>
                <w:szCs w:val="28"/>
              </w:rPr>
              <w:t>未依當年度</w:t>
            </w:r>
            <w:proofErr w:type="gramEnd"/>
            <w:r w:rsidRPr="0072105D">
              <w:rPr>
                <w:rFonts w:ascii="標楷體" w:eastAsia="標楷體" w:hAnsi="標楷體" w:hint="eastAsia"/>
                <w:b/>
                <w:sz w:val="28"/>
                <w:szCs w:val="28"/>
              </w:rPr>
              <w:t>實際轉銷呆帳金額計算，致平均損失率計算錯誤。</w:t>
            </w:r>
          </w:p>
          <w:p w:rsidR="005368F5" w:rsidRPr="0072105D" w:rsidRDefault="00793C00" w:rsidP="00922ECD">
            <w:pPr>
              <w:pStyle w:val="a3"/>
              <w:numPr>
                <w:ilvl w:val="0"/>
                <w:numId w:val="16"/>
              </w:numPr>
              <w:spacing w:line="460" w:lineRule="exact"/>
              <w:ind w:leftChars="0" w:left="1410" w:hanging="276"/>
              <w:jc w:val="both"/>
              <w:rPr>
                <w:rFonts w:ascii="標楷體" w:eastAsia="標楷體" w:hAnsi="標楷體"/>
                <w:b/>
                <w:sz w:val="28"/>
                <w:szCs w:val="28"/>
              </w:rPr>
            </w:pPr>
            <w:r w:rsidRPr="0072105D">
              <w:rPr>
                <w:rFonts w:ascii="標楷體" w:eastAsia="標楷體" w:hAnsi="標楷體" w:cs="新細明體" w:hint="eastAsia"/>
                <w:b/>
                <w:sz w:val="28"/>
                <w:szCs w:val="28"/>
              </w:rPr>
              <w:t>信用風險加權</w:t>
            </w:r>
            <w:r w:rsidRPr="0072105D">
              <w:rPr>
                <w:rFonts w:ascii="標楷體" w:eastAsia="標楷體" w:hAnsi="標楷體" w:hint="eastAsia"/>
                <w:b/>
                <w:sz w:val="28"/>
                <w:szCs w:val="28"/>
              </w:rPr>
              <w:t>風險</w:t>
            </w:r>
            <w:r w:rsidRPr="0072105D">
              <w:rPr>
                <w:rFonts w:ascii="標楷體" w:eastAsia="標楷體" w:hAnsi="標楷體" w:cs="新細明體" w:hint="eastAsia"/>
                <w:b/>
                <w:sz w:val="28"/>
                <w:szCs w:val="28"/>
              </w:rPr>
              <w:t>性資產申報錯誤：</w:t>
            </w:r>
          </w:p>
          <w:p w:rsidR="001964D4" w:rsidRPr="0072105D" w:rsidRDefault="00922ECD" w:rsidP="001964D4">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(1)</w:t>
            </w:r>
            <w:proofErr w:type="gramStart"/>
            <w:r w:rsidR="00134950" w:rsidRPr="0072105D">
              <w:rPr>
                <w:rFonts w:ascii="標楷體" w:eastAsia="標楷體" w:hAnsi="標楷體" w:hint="eastAsia"/>
                <w:b/>
                <w:sz w:val="28"/>
                <w:szCs w:val="28"/>
              </w:rPr>
              <w:t>暴險類型</w:t>
            </w:r>
            <w:proofErr w:type="gramEnd"/>
            <w:r w:rsidR="00134950" w:rsidRPr="0072105D">
              <w:rPr>
                <w:rFonts w:ascii="標楷體" w:eastAsia="標楷體" w:hAnsi="標楷體" w:hint="eastAsia"/>
                <w:b/>
                <w:sz w:val="28"/>
                <w:szCs w:val="28"/>
              </w:rPr>
              <w:t>-「住宅用不動產</w:t>
            </w:r>
            <w:r w:rsidR="001964D4" w:rsidRPr="0072105D">
              <w:rPr>
                <w:rFonts w:ascii="標楷體" w:eastAsia="標楷體" w:hAnsi="標楷體" w:hint="eastAsia"/>
                <w:b/>
                <w:sz w:val="28"/>
                <w:szCs w:val="28"/>
              </w:rPr>
              <w:t>(</w:t>
            </w:r>
            <w:r w:rsidR="00134950" w:rsidRPr="0072105D">
              <w:rPr>
                <w:rFonts w:ascii="標楷體" w:eastAsia="標楷體" w:hAnsi="標楷體" w:hint="eastAsia"/>
                <w:b/>
                <w:sz w:val="28"/>
                <w:szCs w:val="28"/>
              </w:rPr>
              <w:t>風險權數45%</w:t>
            </w:r>
            <w:r w:rsidR="001964D4" w:rsidRPr="0072105D">
              <w:rPr>
                <w:rFonts w:ascii="標楷體" w:eastAsia="標楷體" w:hAnsi="標楷體" w:hint="eastAsia"/>
                <w:b/>
                <w:sz w:val="28"/>
                <w:szCs w:val="28"/>
              </w:rPr>
              <w:t>)</w:t>
            </w:r>
            <w:r w:rsidR="00134950" w:rsidRPr="0072105D">
              <w:rPr>
                <w:rFonts w:ascii="標楷體" w:eastAsia="標楷體" w:hAnsi="標楷體" w:hint="eastAsia"/>
                <w:b/>
                <w:sz w:val="28"/>
                <w:szCs w:val="28"/>
              </w:rPr>
              <w:t>」</w:t>
            </w:r>
            <w:r w:rsidRPr="0072105D">
              <w:rPr>
                <w:rFonts w:ascii="標楷體" w:eastAsia="標楷體" w:hAnsi="標楷體" w:hint="eastAsia"/>
                <w:b/>
                <w:sz w:val="28"/>
                <w:szCs w:val="28"/>
              </w:rPr>
              <w:t>：</w:t>
            </w:r>
            <w:r w:rsidR="00AF48C0" w:rsidRPr="0072105D">
              <w:rPr>
                <w:rFonts w:ascii="標楷體" w:eastAsia="標楷體" w:hAnsi="標楷體" w:hint="eastAsia"/>
                <w:b/>
                <w:sz w:val="28"/>
                <w:szCs w:val="28"/>
              </w:rPr>
              <w:t>有借款用途</w:t>
            </w:r>
            <w:r w:rsidR="00057FBB" w:rsidRPr="0072105D">
              <w:rPr>
                <w:rFonts w:ascii="標楷體" w:eastAsia="標楷體" w:hAnsi="標楷體" w:hint="eastAsia"/>
                <w:b/>
                <w:sz w:val="28"/>
                <w:szCs w:val="28"/>
              </w:rPr>
              <w:t>屬</w:t>
            </w:r>
            <w:r w:rsidR="00AF48C0" w:rsidRPr="0072105D">
              <w:rPr>
                <w:rFonts w:ascii="標楷體" w:eastAsia="標楷體" w:hAnsi="標楷體" w:hint="eastAsia"/>
                <w:b/>
                <w:sz w:val="28"/>
                <w:szCs w:val="28"/>
              </w:rPr>
              <w:t>投資理財之週轉金或擔保物提供人資格</w:t>
            </w:r>
            <w:r w:rsidR="00057FBB" w:rsidRPr="0072105D">
              <w:rPr>
                <w:rFonts w:ascii="標楷體" w:eastAsia="標楷體" w:hAnsi="標楷體" w:hint="eastAsia"/>
                <w:b/>
                <w:sz w:val="28"/>
                <w:szCs w:val="28"/>
              </w:rPr>
              <w:t>係</w:t>
            </w:r>
            <w:r w:rsidR="00AF48C0" w:rsidRPr="0072105D">
              <w:rPr>
                <w:rFonts w:ascii="標楷體" w:eastAsia="標楷體" w:hAnsi="標楷體" w:hint="eastAsia"/>
                <w:b/>
                <w:sz w:val="28"/>
                <w:szCs w:val="28"/>
              </w:rPr>
              <w:t>非本人、配偶或未成年子女</w:t>
            </w:r>
            <w:r w:rsidR="00057FBB" w:rsidRPr="0072105D">
              <w:rPr>
                <w:rFonts w:ascii="標楷體" w:eastAsia="標楷體" w:hAnsi="標楷體" w:hint="eastAsia"/>
                <w:b/>
                <w:sz w:val="28"/>
                <w:szCs w:val="28"/>
              </w:rPr>
              <w:t>不符規定</w:t>
            </w:r>
            <w:r w:rsidR="00F7584C" w:rsidRPr="0072105D">
              <w:rPr>
                <w:rFonts w:ascii="標楷體" w:eastAsia="標楷體" w:hAnsi="標楷體" w:hint="eastAsia"/>
                <w:b/>
                <w:sz w:val="28"/>
                <w:szCs w:val="28"/>
              </w:rPr>
              <w:t>，或超逾住宅足額擔保之信用</w:t>
            </w:r>
            <w:proofErr w:type="gramStart"/>
            <w:r w:rsidR="00F7584C" w:rsidRPr="0072105D">
              <w:rPr>
                <w:rFonts w:ascii="標楷體" w:eastAsia="標楷體" w:hAnsi="標楷體" w:hint="eastAsia"/>
                <w:b/>
                <w:sz w:val="28"/>
                <w:szCs w:val="28"/>
              </w:rPr>
              <w:t>放款誤建檔</w:t>
            </w:r>
            <w:proofErr w:type="gramEnd"/>
            <w:r w:rsidR="00F7584C" w:rsidRPr="0072105D">
              <w:rPr>
                <w:rFonts w:ascii="標楷體" w:eastAsia="標楷體" w:hAnsi="標楷體" w:hint="eastAsia"/>
                <w:b/>
                <w:sz w:val="28"/>
                <w:szCs w:val="28"/>
              </w:rPr>
              <w:t>為擔保放款</w:t>
            </w:r>
            <w:r w:rsidR="00F23750" w:rsidRPr="0072105D">
              <w:rPr>
                <w:rFonts w:ascii="標楷體" w:eastAsia="標楷體" w:hAnsi="標楷體" w:hint="eastAsia"/>
                <w:b/>
                <w:sz w:val="28"/>
                <w:szCs w:val="28"/>
              </w:rPr>
              <w:t>，改列至</w:t>
            </w:r>
            <w:r w:rsidR="00057FBB" w:rsidRPr="0072105D">
              <w:rPr>
                <w:rFonts w:ascii="標楷體" w:eastAsia="標楷體" w:hAnsi="標楷體" w:hint="eastAsia"/>
                <w:b/>
                <w:sz w:val="28"/>
                <w:szCs w:val="28"/>
              </w:rPr>
              <w:t>合格零售債權</w:t>
            </w:r>
            <w:r w:rsidR="001964D4" w:rsidRPr="0072105D">
              <w:rPr>
                <w:rFonts w:ascii="標楷體" w:eastAsia="標楷體" w:hAnsi="標楷體" w:hint="eastAsia"/>
                <w:b/>
                <w:sz w:val="28"/>
                <w:szCs w:val="28"/>
              </w:rPr>
              <w:t>(</w:t>
            </w:r>
            <w:r w:rsidR="00057FBB" w:rsidRPr="0072105D">
              <w:rPr>
                <w:rFonts w:ascii="標楷體" w:eastAsia="標楷體" w:hAnsi="標楷體" w:hint="eastAsia"/>
                <w:b/>
                <w:sz w:val="28"/>
                <w:szCs w:val="28"/>
              </w:rPr>
              <w:t>風險權數75</w:t>
            </w:r>
            <w:r w:rsidR="00BF166A" w:rsidRPr="0072105D">
              <w:rPr>
                <w:rFonts w:ascii="標楷體" w:eastAsia="標楷體" w:hAnsi="標楷體" w:hint="eastAsia"/>
                <w:b/>
                <w:sz w:val="28"/>
                <w:szCs w:val="28"/>
              </w:rPr>
              <w:t>%</w:t>
            </w:r>
            <w:r w:rsidR="001964D4" w:rsidRPr="0072105D">
              <w:rPr>
                <w:rFonts w:ascii="標楷體" w:eastAsia="標楷體" w:hAnsi="標楷體" w:hint="eastAsia"/>
                <w:b/>
                <w:sz w:val="28"/>
                <w:szCs w:val="28"/>
              </w:rPr>
              <w:t>)</w:t>
            </w:r>
            <w:r w:rsidR="00057FBB" w:rsidRPr="0072105D">
              <w:rPr>
                <w:rFonts w:ascii="標楷體" w:eastAsia="標楷體" w:hAnsi="標楷體" w:hint="eastAsia"/>
                <w:b/>
                <w:sz w:val="28"/>
                <w:szCs w:val="28"/>
              </w:rPr>
              <w:t>或</w:t>
            </w:r>
            <w:r w:rsidR="00F23750" w:rsidRPr="0072105D">
              <w:rPr>
                <w:rFonts w:ascii="標楷體" w:eastAsia="標楷體" w:hAnsi="標楷體" w:hint="eastAsia"/>
                <w:b/>
                <w:sz w:val="28"/>
                <w:szCs w:val="28"/>
              </w:rPr>
              <w:t>非合格零售債權(風險權數100</w:t>
            </w:r>
            <w:r w:rsidR="00BF166A" w:rsidRPr="0072105D">
              <w:rPr>
                <w:rFonts w:ascii="標楷體" w:eastAsia="標楷體" w:hAnsi="標楷體" w:hint="eastAsia"/>
                <w:b/>
                <w:sz w:val="28"/>
                <w:szCs w:val="28"/>
              </w:rPr>
              <w:t>%</w:t>
            </w:r>
            <w:r w:rsidR="00F23750" w:rsidRPr="0072105D">
              <w:rPr>
                <w:rFonts w:ascii="標楷體" w:eastAsia="標楷體" w:hAnsi="標楷體" w:hint="eastAsia"/>
                <w:b/>
                <w:sz w:val="28"/>
                <w:szCs w:val="28"/>
              </w:rPr>
              <w:t>)。</w:t>
            </w:r>
          </w:p>
          <w:p w:rsidR="001964D4" w:rsidRPr="0072105D" w:rsidRDefault="001964D4" w:rsidP="001964D4">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(2)</w:t>
            </w:r>
            <w:proofErr w:type="gramStart"/>
            <w:r w:rsidR="00134950" w:rsidRPr="0072105D">
              <w:rPr>
                <w:rFonts w:ascii="標楷體" w:eastAsia="標楷體" w:hAnsi="標楷體" w:hint="eastAsia"/>
                <w:b/>
                <w:sz w:val="28"/>
                <w:szCs w:val="28"/>
              </w:rPr>
              <w:t>暴險類型</w:t>
            </w:r>
            <w:proofErr w:type="gramEnd"/>
            <w:r w:rsidR="00134950" w:rsidRPr="0072105D">
              <w:rPr>
                <w:rFonts w:ascii="標楷體" w:eastAsia="標楷體" w:hAnsi="標楷體" w:hint="eastAsia"/>
                <w:b/>
                <w:sz w:val="28"/>
                <w:szCs w:val="28"/>
              </w:rPr>
              <w:t>-「零售債權</w:t>
            </w:r>
            <w:r w:rsidRPr="0072105D">
              <w:rPr>
                <w:rFonts w:ascii="標楷體" w:eastAsia="標楷體" w:hAnsi="標楷體" w:hint="eastAsia"/>
                <w:b/>
                <w:sz w:val="28"/>
                <w:szCs w:val="28"/>
              </w:rPr>
              <w:t>(</w:t>
            </w:r>
            <w:r w:rsidR="00134950" w:rsidRPr="0072105D">
              <w:rPr>
                <w:rFonts w:ascii="標楷體" w:eastAsia="標楷體" w:hAnsi="標楷體" w:hint="eastAsia"/>
                <w:b/>
                <w:sz w:val="28"/>
                <w:szCs w:val="28"/>
              </w:rPr>
              <w:t>風險權數75</w:t>
            </w:r>
            <w:r w:rsidRPr="0072105D">
              <w:rPr>
                <w:rFonts w:ascii="標楷體" w:eastAsia="標楷體" w:hAnsi="標楷體" w:hint="eastAsia"/>
                <w:b/>
                <w:sz w:val="28"/>
                <w:szCs w:val="28"/>
              </w:rPr>
              <w:t>%)</w:t>
            </w:r>
            <w:r w:rsidR="00134950" w:rsidRPr="0072105D">
              <w:rPr>
                <w:rFonts w:ascii="標楷體" w:eastAsia="標楷體" w:hAnsi="標楷體" w:hint="eastAsia"/>
                <w:b/>
                <w:sz w:val="28"/>
                <w:szCs w:val="28"/>
              </w:rPr>
              <w:t>」</w:t>
            </w:r>
            <w:r w:rsidRPr="0072105D">
              <w:rPr>
                <w:rFonts w:ascii="標楷體" w:eastAsia="標楷體" w:hAnsi="標楷體" w:hint="eastAsia"/>
                <w:b/>
                <w:sz w:val="28"/>
                <w:szCs w:val="28"/>
              </w:rPr>
              <w:t>：</w:t>
            </w:r>
            <w:r w:rsidR="005368F5" w:rsidRPr="0072105D">
              <w:rPr>
                <w:rFonts w:ascii="標楷體" w:eastAsia="標楷體" w:hAnsi="標楷體" w:hint="eastAsia"/>
                <w:b/>
                <w:sz w:val="28"/>
                <w:szCs w:val="28"/>
              </w:rPr>
              <w:t>漏未將放款之應收利息列入「零售組合之債權總額」計算，致「對單一交易對手</w:t>
            </w:r>
            <w:proofErr w:type="gramStart"/>
            <w:r w:rsidR="005368F5" w:rsidRPr="0072105D">
              <w:rPr>
                <w:rFonts w:ascii="標楷體" w:eastAsia="標楷體" w:hAnsi="標楷體" w:hint="eastAsia"/>
                <w:b/>
                <w:sz w:val="28"/>
                <w:szCs w:val="28"/>
              </w:rPr>
              <w:t>暴險額</w:t>
            </w:r>
            <w:proofErr w:type="gramEnd"/>
            <w:r w:rsidR="005368F5" w:rsidRPr="0072105D">
              <w:rPr>
                <w:rFonts w:ascii="標楷體" w:eastAsia="標楷體" w:hAnsi="標楷體" w:hint="eastAsia"/>
                <w:b/>
                <w:sz w:val="28"/>
                <w:szCs w:val="28"/>
              </w:rPr>
              <w:t>加總不得超過零售資產組合之債權總額0.2%」計算有誤，</w:t>
            </w:r>
            <w:proofErr w:type="gramStart"/>
            <w:r w:rsidR="00200C7C" w:rsidRPr="0072105D">
              <w:rPr>
                <w:rFonts w:ascii="標楷體" w:eastAsia="標楷體" w:hAnsi="標楷體" w:hint="eastAsia"/>
                <w:b/>
                <w:sz w:val="28"/>
                <w:szCs w:val="28"/>
              </w:rPr>
              <w:t>歸戶後</w:t>
            </w:r>
            <w:r w:rsidR="005368F5" w:rsidRPr="0072105D">
              <w:rPr>
                <w:rFonts w:ascii="標楷體" w:eastAsia="標楷體" w:hAnsi="標楷體" w:hint="eastAsia"/>
                <w:b/>
                <w:sz w:val="28"/>
                <w:szCs w:val="28"/>
              </w:rPr>
              <w:t>改</w:t>
            </w:r>
            <w:proofErr w:type="gramEnd"/>
            <w:r w:rsidR="005368F5" w:rsidRPr="0072105D">
              <w:rPr>
                <w:rFonts w:ascii="標楷體" w:eastAsia="標楷體" w:hAnsi="標楷體" w:hint="eastAsia"/>
                <w:b/>
                <w:sz w:val="28"/>
                <w:szCs w:val="28"/>
              </w:rPr>
              <w:t>適用「非合格零售債權」</w:t>
            </w:r>
            <w:r w:rsidRPr="0072105D">
              <w:rPr>
                <w:rFonts w:ascii="標楷體" w:eastAsia="標楷體" w:hAnsi="標楷體" w:hint="eastAsia"/>
                <w:b/>
                <w:sz w:val="28"/>
                <w:szCs w:val="28"/>
              </w:rPr>
              <w:t>(</w:t>
            </w:r>
            <w:r w:rsidR="005368F5" w:rsidRPr="0072105D">
              <w:rPr>
                <w:rFonts w:ascii="標楷體" w:eastAsia="標楷體" w:hAnsi="標楷體" w:hint="eastAsia"/>
                <w:b/>
                <w:sz w:val="28"/>
                <w:szCs w:val="28"/>
              </w:rPr>
              <w:t>風險權數100</w:t>
            </w:r>
            <w:r w:rsidRPr="0072105D">
              <w:rPr>
                <w:rFonts w:ascii="標楷體" w:eastAsia="標楷體" w:hAnsi="標楷體" w:hint="eastAsia"/>
                <w:b/>
                <w:sz w:val="28"/>
                <w:szCs w:val="28"/>
              </w:rPr>
              <w:t>%)</w:t>
            </w:r>
            <w:r w:rsidR="00F7584C" w:rsidRPr="0072105D">
              <w:rPr>
                <w:rFonts w:ascii="標楷體" w:eastAsia="標楷體" w:hAnsi="標楷體" w:hint="eastAsia"/>
                <w:b/>
                <w:sz w:val="28"/>
                <w:szCs w:val="28"/>
              </w:rPr>
              <w:t>。</w:t>
            </w:r>
          </w:p>
          <w:p w:rsidR="001964D4" w:rsidRPr="0072105D" w:rsidRDefault="001964D4" w:rsidP="001964D4">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(3)</w:t>
            </w:r>
            <w:proofErr w:type="gramStart"/>
            <w:r w:rsidR="00F718F7" w:rsidRPr="0072105D">
              <w:rPr>
                <w:rFonts w:ascii="標楷體" w:eastAsia="標楷體" w:hAnsi="標楷體" w:hint="eastAsia"/>
                <w:b/>
                <w:sz w:val="28"/>
                <w:szCs w:val="28"/>
              </w:rPr>
              <w:t>暴險類型</w:t>
            </w:r>
            <w:proofErr w:type="gramEnd"/>
            <w:r w:rsidR="00F718F7" w:rsidRPr="0072105D">
              <w:rPr>
                <w:rFonts w:ascii="標楷體" w:eastAsia="標楷體" w:hAnsi="標楷體" w:hint="eastAsia"/>
                <w:b/>
                <w:sz w:val="28"/>
                <w:szCs w:val="28"/>
              </w:rPr>
              <w:t>-「</w:t>
            </w:r>
            <w:r w:rsidR="00F718F7" w:rsidRPr="0072105D">
              <w:rPr>
                <w:rFonts w:ascii="標楷體" w:eastAsia="標楷體" w:hAnsi="標楷體"/>
                <w:b/>
                <w:sz w:val="28"/>
                <w:szCs w:val="28"/>
              </w:rPr>
              <w:t>銀行債權」</w:t>
            </w:r>
            <w:r w:rsidRPr="0072105D">
              <w:rPr>
                <w:rFonts w:ascii="標楷體" w:eastAsia="標楷體" w:hAnsi="標楷體" w:hint="eastAsia"/>
                <w:b/>
                <w:sz w:val="28"/>
                <w:szCs w:val="28"/>
              </w:rPr>
              <w:t>(</w:t>
            </w:r>
            <w:r w:rsidR="00F718F7" w:rsidRPr="0072105D">
              <w:rPr>
                <w:rFonts w:ascii="標楷體" w:eastAsia="標楷體" w:hAnsi="標楷體" w:hint="eastAsia"/>
                <w:b/>
                <w:sz w:val="28"/>
                <w:szCs w:val="28"/>
              </w:rPr>
              <w:t>風險權數20</w:t>
            </w:r>
            <w:r w:rsidRPr="0072105D">
              <w:rPr>
                <w:rFonts w:ascii="標楷體" w:eastAsia="標楷體" w:hAnsi="標楷體" w:hint="eastAsia"/>
                <w:b/>
                <w:sz w:val="28"/>
                <w:szCs w:val="28"/>
              </w:rPr>
              <w:t>%)</w:t>
            </w:r>
            <w:r w:rsidR="00F718F7" w:rsidRPr="0072105D">
              <w:rPr>
                <w:rFonts w:ascii="標楷體" w:eastAsia="標楷體" w:hAnsi="標楷體" w:hint="eastAsia"/>
                <w:b/>
                <w:sz w:val="28"/>
                <w:szCs w:val="28"/>
              </w:rPr>
              <w:t>」</w:t>
            </w:r>
            <w:r w:rsidRPr="0072105D">
              <w:rPr>
                <w:rFonts w:ascii="標楷體" w:eastAsia="標楷體" w:hAnsi="標楷體" w:hint="eastAsia"/>
                <w:b/>
                <w:sz w:val="28"/>
                <w:szCs w:val="28"/>
              </w:rPr>
              <w:t>：誤將</w:t>
            </w:r>
            <w:r w:rsidR="00F718F7" w:rsidRPr="0072105D">
              <w:rPr>
                <w:rFonts w:ascii="標楷體" w:eastAsia="標楷體" w:hAnsi="標楷體" w:hint="eastAsia"/>
                <w:b/>
                <w:sz w:val="28"/>
                <w:szCs w:val="28"/>
              </w:rPr>
              <w:t>3個月</w:t>
            </w:r>
            <w:r w:rsidRPr="0072105D">
              <w:rPr>
                <w:rFonts w:ascii="標楷體" w:eastAsia="標楷體" w:hAnsi="標楷體" w:hint="eastAsia"/>
                <w:b/>
                <w:sz w:val="28"/>
                <w:szCs w:val="28"/>
              </w:rPr>
              <w:t>以上</w:t>
            </w:r>
            <w:r w:rsidR="00F718F7" w:rsidRPr="0072105D">
              <w:rPr>
                <w:rFonts w:ascii="標楷體" w:eastAsia="標楷體" w:hAnsi="標楷體" w:hint="eastAsia"/>
                <w:b/>
                <w:sz w:val="28"/>
                <w:szCs w:val="28"/>
              </w:rPr>
              <w:t>之銀行債權</w:t>
            </w:r>
            <w:r w:rsidRPr="0072105D">
              <w:rPr>
                <w:rFonts w:ascii="標楷體" w:eastAsia="標楷體" w:hAnsi="標楷體" w:hint="eastAsia"/>
                <w:b/>
                <w:sz w:val="28"/>
                <w:szCs w:val="28"/>
              </w:rPr>
              <w:t>計入</w:t>
            </w:r>
            <w:r w:rsidR="00F718F7" w:rsidRPr="0072105D">
              <w:rPr>
                <w:rFonts w:ascii="標楷體" w:eastAsia="標楷體" w:hAnsi="標楷體" w:hint="eastAsia"/>
                <w:b/>
                <w:sz w:val="28"/>
                <w:szCs w:val="28"/>
              </w:rPr>
              <w:t>，改適用風險權數50</w:t>
            </w:r>
            <w:r w:rsidRPr="0072105D">
              <w:rPr>
                <w:rFonts w:ascii="標楷體" w:eastAsia="標楷體" w:hAnsi="標楷體" w:hint="eastAsia"/>
                <w:b/>
                <w:sz w:val="28"/>
                <w:szCs w:val="28"/>
              </w:rPr>
              <w:t>%</w:t>
            </w:r>
            <w:r w:rsidR="00F718F7" w:rsidRPr="0072105D">
              <w:rPr>
                <w:rFonts w:ascii="標楷體" w:eastAsia="標楷體" w:hAnsi="標楷體"/>
                <w:b/>
                <w:sz w:val="28"/>
                <w:szCs w:val="28"/>
              </w:rPr>
              <w:t>。</w:t>
            </w:r>
          </w:p>
          <w:p w:rsidR="001964D4" w:rsidRPr="0072105D" w:rsidRDefault="001964D4" w:rsidP="001964D4">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(4)</w:t>
            </w:r>
            <w:proofErr w:type="gramStart"/>
            <w:r w:rsidR="000E3BBC" w:rsidRPr="0072105D">
              <w:rPr>
                <w:rFonts w:ascii="標楷體" w:eastAsia="標楷體" w:hAnsi="標楷體" w:hint="eastAsia"/>
                <w:b/>
                <w:sz w:val="28"/>
                <w:szCs w:val="28"/>
              </w:rPr>
              <w:t>暴險類型</w:t>
            </w:r>
            <w:proofErr w:type="gramEnd"/>
            <w:r w:rsidR="000E3BBC" w:rsidRPr="0072105D">
              <w:rPr>
                <w:rFonts w:ascii="標楷體" w:eastAsia="標楷體" w:hAnsi="標楷體" w:hint="eastAsia"/>
                <w:b/>
                <w:sz w:val="28"/>
                <w:szCs w:val="28"/>
              </w:rPr>
              <w:t>-「企業債權</w:t>
            </w:r>
            <w:r w:rsidRPr="0072105D">
              <w:rPr>
                <w:rFonts w:ascii="標楷體" w:eastAsia="標楷體" w:hAnsi="標楷體" w:hint="eastAsia"/>
                <w:b/>
                <w:sz w:val="28"/>
                <w:szCs w:val="28"/>
              </w:rPr>
              <w:t>(</w:t>
            </w:r>
            <w:r w:rsidR="000E3BBC" w:rsidRPr="0072105D">
              <w:rPr>
                <w:rFonts w:ascii="標楷體" w:eastAsia="標楷體" w:hAnsi="標楷體" w:hint="eastAsia"/>
                <w:b/>
                <w:sz w:val="28"/>
                <w:szCs w:val="28"/>
              </w:rPr>
              <w:t>風險權數100</w:t>
            </w:r>
            <w:r w:rsidRPr="0072105D">
              <w:rPr>
                <w:rFonts w:ascii="標楷體" w:eastAsia="標楷體" w:hAnsi="標楷體" w:hint="eastAsia"/>
                <w:b/>
                <w:sz w:val="28"/>
                <w:szCs w:val="28"/>
              </w:rPr>
              <w:t>%)</w:t>
            </w:r>
            <w:r w:rsidR="000E3BBC" w:rsidRPr="0072105D">
              <w:rPr>
                <w:rFonts w:ascii="標楷體" w:eastAsia="標楷體" w:hAnsi="標楷體" w:hint="eastAsia"/>
                <w:b/>
                <w:sz w:val="28"/>
                <w:szCs w:val="28"/>
              </w:rPr>
              <w:t>」</w:t>
            </w:r>
            <w:r w:rsidRPr="0072105D">
              <w:rPr>
                <w:rFonts w:ascii="標楷體" w:eastAsia="標楷體" w:hAnsi="標楷體" w:hint="eastAsia"/>
                <w:b/>
                <w:sz w:val="28"/>
                <w:szCs w:val="28"/>
              </w:rPr>
              <w:t>：誤將</w:t>
            </w:r>
            <w:r w:rsidR="000E3BBC" w:rsidRPr="0072105D">
              <w:rPr>
                <w:rFonts w:ascii="標楷體" w:eastAsia="標楷體" w:hAnsi="標楷體" w:hint="eastAsia"/>
                <w:b/>
                <w:sz w:val="28"/>
                <w:szCs w:val="28"/>
              </w:rPr>
              <w:t>屬</w:t>
            </w:r>
            <w:r w:rsidR="000E3BBC" w:rsidRPr="0072105D">
              <w:rPr>
                <w:rFonts w:ascii="標楷體" w:eastAsia="標楷體" w:hAnsi="標楷體"/>
                <w:b/>
                <w:sz w:val="28"/>
                <w:szCs w:val="28"/>
              </w:rPr>
              <w:t>中小企業</w:t>
            </w:r>
            <w:r w:rsidR="000E3BBC" w:rsidRPr="0072105D">
              <w:rPr>
                <w:rFonts w:ascii="標楷體" w:eastAsia="標楷體" w:hAnsi="標楷體" w:hint="eastAsia"/>
                <w:b/>
                <w:sz w:val="28"/>
                <w:szCs w:val="28"/>
              </w:rPr>
              <w:t>之</w:t>
            </w:r>
            <w:r w:rsidR="000E3BBC" w:rsidRPr="0072105D">
              <w:rPr>
                <w:rFonts w:ascii="標楷體" w:eastAsia="標楷體" w:hAnsi="標楷體"/>
                <w:b/>
                <w:sz w:val="28"/>
                <w:szCs w:val="28"/>
              </w:rPr>
              <w:t>零售債權</w:t>
            </w:r>
            <w:r w:rsidRPr="0072105D">
              <w:rPr>
                <w:rFonts w:ascii="標楷體" w:eastAsia="標楷體" w:hAnsi="標楷體"/>
                <w:b/>
                <w:sz w:val="28"/>
                <w:szCs w:val="28"/>
              </w:rPr>
              <w:t>計入，</w:t>
            </w:r>
            <w:r w:rsidR="000E3BBC" w:rsidRPr="0072105D">
              <w:rPr>
                <w:rFonts w:ascii="標楷體" w:eastAsia="標楷體" w:hAnsi="標楷體" w:hint="eastAsia"/>
                <w:b/>
                <w:sz w:val="28"/>
                <w:szCs w:val="28"/>
              </w:rPr>
              <w:t>改適用零售債權</w:t>
            </w:r>
            <w:r w:rsidRPr="0072105D">
              <w:rPr>
                <w:rFonts w:ascii="標楷體" w:eastAsia="標楷體" w:hAnsi="標楷體" w:hint="eastAsia"/>
                <w:b/>
                <w:sz w:val="28"/>
                <w:szCs w:val="28"/>
              </w:rPr>
              <w:t>(</w:t>
            </w:r>
            <w:r w:rsidR="000E3BBC" w:rsidRPr="0072105D">
              <w:rPr>
                <w:rFonts w:ascii="標楷體" w:eastAsia="標楷體" w:hAnsi="標楷體" w:hint="eastAsia"/>
                <w:b/>
                <w:sz w:val="28"/>
                <w:szCs w:val="28"/>
              </w:rPr>
              <w:t>風險權數75</w:t>
            </w:r>
            <w:r w:rsidRPr="0072105D">
              <w:rPr>
                <w:rFonts w:ascii="標楷體" w:eastAsia="標楷體" w:hAnsi="標楷體" w:hint="eastAsia"/>
                <w:b/>
                <w:sz w:val="28"/>
                <w:szCs w:val="28"/>
              </w:rPr>
              <w:t>%)。</w:t>
            </w:r>
          </w:p>
          <w:p w:rsidR="00412853" w:rsidRPr="0072105D" w:rsidRDefault="00562C7F" w:rsidP="001964D4">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(5)</w:t>
            </w:r>
            <w:r w:rsidR="00412853" w:rsidRPr="0072105D">
              <w:rPr>
                <w:rFonts w:ascii="標楷體" w:eastAsia="標楷體" w:hAnsi="標楷體" w:hint="eastAsia"/>
                <w:b/>
                <w:sz w:val="28"/>
                <w:szCs w:val="28"/>
              </w:rPr>
              <w:t>誤將</w:t>
            </w:r>
            <w:r w:rsidRPr="0072105D">
              <w:rPr>
                <w:rFonts w:ascii="標楷體" w:eastAsia="標楷體" w:hAnsi="標楷體" w:hint="eastAsia"/>
                <w:b/>
                <w:sz w:val="28"/>
                <w:szCs w:val="28"/>
              </w:rPr>
              <w:t>屬</w:t>
            </w:r>
            <w:r w:rsidR="00412853" w:rsidRPr="0072105D">
              <w:rPr>
                <w:rFonts w:ascii="標楷體" w:eastAsia="標楷體" w:hAnsi="標楷體"/>
                <w:b/>
                <w:sz w:val="28"/>
                <w:szCs w:val="28"/>
              </w:rPr>
              <w:t>「銀行(含多邊開發銀行)</w:t>
            </w:r>
            <w:r w:rsidRPr="0072105D">
              <w:rPr>
                <w:rFonts w:ascii="標楷體" w:eastAsia="標楷體" w:hAnsi="標楷體"/>
                <w:b/>
                <w:sz w:val="28"/>
                <w:szCs w:val="28"/>
              </w:rPr>
              <w:t>債權</w:t>
            </w:r>
            <w:r w:rsidR="00412853" w:rsidRPr="0072105D">
              <w:rPr>
                <w:rFonts w:ascii="標楷體" w:eastAsia="標楷體" w:hAnsi="標楷體" w:hint="eastAsia"/>
                <w:b/>
                <w:sz w:val="28"/>
                <w:szCs w:val="28"/>
              </w:rPr>
              <w:t>」之</w:t>
            </w:r>
            <w:r w:rsidR="00412853" w:rsidRPr="0072105D">
              <w:rPr>
                <w:rFonts w:ascii="標楷體" w:eastAsia="標楷體" w:hAnsi="標楷體"/>
                <w:b/>
                <w:sz w:val="28"/>
                <w:szCs w:val="28"/>
              </w:rPr>
              <w:t>存放銀行同業</w:t>
            </w:r>
            <w:r w:rsidRPr="0072105D">
              <w:rPr>
                <w:rFonts w:ascii="標楷體" w:eastAsia="標楷體" w:hAnsi="標楷體"/>
                <w:b/>
                <w:sz w:val="28"/>
                <w:szCs w:val="28"/>
              </w:rPr>
              <w:t>定期性存款</w:t>
            </w:r>
            <w:r w:rsidR="00412853" w:rsidRPr="0072105D">
              <w:rPr>
                <w:rFonts w:ascii="標楷體" w:eastAsia="標楷體" w:hAnsi="標楷體"/>
                <w:b/>
                <w:sz w:val="28"/>
                <w:szCs w:val="28"/>
              </w:rPr>
              <w:t>之應收利息</w:t>
            </w:r>
            <w:r w:rsidR="00412853" w:rsidRPr="0072105D">
              <w:rPr>
                <w:rFonts w:ascii="標楷體" w:eastAsia="標楷體" w:hAnsi="標楷體" w:hint="eastAsia"/>
                <w:b/>
                <w:sz w:val="28"/>
                <w:szCs w:val="28"/>
              </w:rPr>
              <w:t>列為</w:t>
            </w:r>
            <w:r w:rsidR="00412853" w:rsidRPr="0072105D">
              <w:rPr>
                <w:rFonts w:ascii="標楷體" w:eastAsia="標楷體" w:hAnsi="標楷體"/>
                <w:b/>
                <w:sz w:val="28"/>
                <w:szCs w:val="28"/>
              </w:rPr>
              <w:t>「其他資產」</w:t>
            </w:r>
            <w:r w:rsidR="00D163CA" w:rsidRPr="0072105D">
              <w:rPr>
                <w:rFonts w:ascii="標楷體" w:eastAsia="標楷體" w:hAnsi="標楷體"/>
                <w:b/>
                <w:sz w:val="28"/>
                <w:szCs w:val="28"/>
              </w:rPr>
              <w:t>，</w:t>
            </w:r>
            <w:r w:rsidR="00872370" w:rsidRPr="0072105D">
              <w:rPr>
                <w:rFonts w:ascii="標楷體" w:eastAsia="標楷體" w:hAnsi="標楷體" w:hint="eastAsia"/>
                <w:b/>
                <w:sz w:val="28"/>
                <w:szCs w:val="28"/>
              </w:rPr>
              <w:t>或誤將「住宅用不動產」列為「零售債權」</w:t>
            </w:r>
            <w:r w:rsidRPr="0072105D">
              <w:rPr>
                <w:rFonts w:ascii="標楷體" w:eastAsia="標楷體" w:hAnsi="標楷體" w:hint="eastAsia"/>
                <w:b/>
                <w:sz w:val="28"/>
                <w:szCs w:val="28"/>
              </w:rPr>
              <w:t>，致風險權數適用錯誤</w:t>
            </w:r>
            <w:r w:rsidR="00412853" w:rsidRPr="0072105D">
              <w:rPr>
                <w:rFonts w:ascii="標楷體" w:eastAsia="標楷體" w:hAnsi="標楷體" w:hint="eastAsia"/>
                <w:b/>
                <w:sz w:val="28"/>
                <w:szCs w:val="28"/>
              </w:rPr>
              <w:t>。</w:t>
            </w:r>
          </w:p>
          <w:p w:rsidR="00562C7F" w:rsidRPr="0072105D" w:rsidRDefault="00562C7F" w:rsidP="00562C7F">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(6)</w:t>
            </w:r>
            <w:r w:rsidRPr="0072105D">
              <w:rPr>
                <w:rFonts w:ascii="標楷體" w:eastAsia="標楷體" w:hAnsi="標楷體"/>
                <w:b/>
                <w:sz w:val="28"/>
                <w:szCs w:val="28"/>
              </w:rPr>
              <w:t>對準備金乙戶、存放銀行同業活期存款及投</w:t>
            </w:r>
            <w:r w:rsidRPr="0072105D">
              <w:rPr>
                <w:rFonts w:ascii="標楷體" w:eastAsia="標楷體" w:hAnsi="標楷體" w:hint="eastAsia"/>
                <w:b/>
                <w:sz w:val="28"/>
                <w:szCs w:val="28"/>
              </w:rPr>
              <w:t>資銀行次</w:t>
            </w:r>
            <w:r w:rsidRPr="0072105D">
              <w:rPr>
                <w:rFonts w:ascii="標楷體" w:eastAsia="標楷體" w:hAnsi="標楷體"/>
                <w:b/>
                <w:sz w:val="28"/>
                <w:szCs w:val="28"/>
              </w:rPr>
              <w:t>順位金融債券之利息，係以現金基礎</w:t>
            </w:r>
            <w:proofErr w:type="gramStart"/>
            <w:r w:rsidRPr="0072105D">
              <w:rPr>
                <w:rFonts w:ascii="標楷體" w:eastAsia="標楷體" w:hAnsi="標楷體"/>
                <w:b/>
                <w:sz w:val="28"/>
                <w:szCs w:val="28"/>
              </w:rPr>
              <w:t>入帳</w:t>
            </w:r>
            <w:proofErr w:type="gramEnd"/>
            <w:r w:rsidRPr="0072105D">
              <w:rPr>
                <w:rFonts w:ascii="標楷體" w:eastAsia="標楷體" w:hAnsi="標楷體"/>
                <w:b/>
                <w:sz w:val="28"/>
                <w:szCs w:val="28"/>
              </w:rPr>
              <w:t>，未於月底按權責基礎計提應收利息，</w:t>
            </w:r>
            <w:r w:rsidRPr="0072105D">
              <w:rPr>
                <w:rFonts w:ascii="標楷體" w:eastAsia="標楷體" w:hAnsi="標楷體" w:hint="eastAsia"/>
                <w:b/>
                <w:sz w:val="28"/>
                <w:szCs w:val="28"/>
              </w:rPr>
              <w:t>致相對應之風險性資產</w:t>
            </w:r>
            <w:proofErr w:type="gramStart"/>
            <w:r w:rsidRPr="0072105D">
              <w:rPr>
                <w:rFonts w:ascii="標楷體" w:eastAsia="標楷體" w:hAnsi="標楷體"/>
                <w:b/>
                <w:sz w:val="28"/>
                <w:szCs w:val="28"/>
              </w:rPr>
              <w:t>暴險</w:t>
            </w:r>
            <w:r w:rsidRPr="0072105D">
              <w:rPr>
                <w:rFonts w:ascii="標楷體" w:eastAsia="標楷體" w:hAnsi="標楷體" w:hint="eastAsia"/>
                <w:b/>
                <w:sz w:val="28"/>
                <w:szCs w:val="28"/>
              </w:rPr>
              <w:t>額</w:t>
            </w:r>
            <w:proofErr w:type="gramEnd"/>
            <w:r w:rsidRPr="0072105D">
              <w:rPr>
                <w:rFonts w:ascii="標楷體" w:eastAsia="標楷體" w:hAnsi="標楷體" w:hint="eastAsia"/>
                <w:b/>
                <w:sz w:val="28"/>
                <w:szCs w:val="28"/>
              </w:rPr>
              <w:t>錯誤</w:t>
            </w:r>
            <w:r w:rsidRPr="0072105D">
              <w:rPr>
                <w:rFonts w:ascii="標楷體" w:eastAsia="標楷體" w:hAnsi="標楷體"/>
                <w:b/>
                <w:sz w:val="28"/>
                <w:szCs w:val="28"/>
              </w:rPr>
              <w:t>。</w:t>
            </w:r>
          </w:p>
          <w:p w:rsidR="00562C7F" w:rsidRPr="0072105D" w:rsidRDefault="00562C7F" w:rsidP="00562C7F">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(7)</w:t>
            </w:r>
            <w:r w:rsidRPr="0072105D">
              <w:rPr>
                <w:rFonts w:ascii="標楷體" w:eastAsia="標楷體" w:hAnsi="標楷體"/>
                <w:b/>
                <w:sz w:val="28"/>
                <w:szCs w:val="28"/>
              </w:rPr>
              <w:t>對逾期超過90天以上之債權，</w:t>
            </w:r>
            <w:r w:rsidRPr="0072105D">
              <w:rPr>
                <w:rFonts w:ascii="標楷體" w:eastAsia="標楷體" w:hAnsi="標楷體" w:hint="eastAsia"/>
                <w:b/>
                <w:sz w:val="28"/>
                <w:szCs w:val="28"/>
              </w:rPr>
              <w:t>未以各類放款備抵呆帳加計其沖銷數占逾期放款比率核算適用風險權數</w:t>
            </w:r>
            <w:r w:rsidRPr="0072105D">
              <w:rPr>
                <w:rFonts w:ascii="標楷體" w:eastAsia="標楷體" w:hAnsi="標楷體"/>
                <w:b/>
                <w:sz w:val="28"/>
                <w:szCs w:val="28"/>
              </w:rPr>
              <w:t>，</w:t>
            </w:r>
            <w:r w:rsidRPr="0072105D">
              <w:rPr>
                <w:rFonts w:ascii="標楷體" w:eastAsia="標楷體" w:hAnsi="標楷體" w:hint="eastAsia"/>
                <w:b/>
                <w:sz w:val="28"/>
                <w:szCs w:val="28"/>
              </w:rPr>
              <w:t>致所</w:t>
            </w:r>
            <w:r w:rsidRPr="0072105D">
              <w:rPr>
                <w:rFonts w:ascii="標楷體" w:eastAsia="標楷體" w:hAnsi="標楷體"/>
                <w:b/>
                <w:sz w:val="28"/>
                <w:szCs w:val="28"/>
              </w:rPr>
              <w:t>適</w:t>
            </w:r>
            <w:r w:rsidRPr="0072105D">
              <w:rPr>
                <w:rFonts w:ascii="標楷體" w:eastAsia="標楷體" w:hAnsi="標楷體"/>
                <w:b/>
                <w:sz w:val="28"/>
                <w:szCs w:val="28"/>
              </w:rPr>
              <w:lastRenderedPageBreak/>
              <w:t>用</w:t>
            </w:r>
            <w:proofErr w:type="gramStart"/>
            <w:r w:rsidRPr="0072105D">
              <w:rPr>
                <w:rFonts w:ascii="標楷體" w:eastAsia="標楷體" w:hAnsi="標楷體" w:hint="eastAsia"/>
                <w:b/>
                <w:sz w:val="28"/>
                <w:szCs w:val="28"/>
              </w:rPr>
              <w:t>資產暴險類型</w:t>
            </w:r>
            <w:proofErr w:type="gramEnd"/>
            <w:r w:rsidRPr="0072105D">
              <w:rPr>
                <w:rFonts w:ascii="標楷體" w:eastAsia="標楷體" w:hAnsi="標楷體" w:hint="eastAsia"/>
                <w:b/>
                <w:sz w:val="28"/>
                <w:szCs w:val="28"/>
              </w:rPr>
              <w:t>之</w:t>
            </w:r>
            <w:r w:rsidRPr="0072105D">
              <w:rPr>
                <w:rFonts w:ascii="標楷體" w:eastAsia="標楷體" w:hAnsi="標楷體"/>
                <w:b/>
                <w:sz w:val="28"/>
                <w:szCs w:val="28"/>
              </w:rPr>
              <w:t>風險權</w:t>
            </w:r>
            <w:r w:rsidRPr="0072105D">
              <w:rPr>
                <w:rFonts w:ascii="標楷體" w:eastAsia="標楷體" w:hAnsi="標楷體" w:hint="eastAsia"/>
                <w:b/>
                <w:sz w:val="28"/>
                <w:szCs w:val="28"/>
              </w:rPr>
              <w:t>數錯誤。</w:t>
            </w:r>
          </w:p>
          <w:p w:rsidR="004E6CA4" w:rsidRPr="0072105D" w:rsidRDefault="004E6CA4" w:rsidP="00562C7F">
            <w:pPr>
              <w:pStyle w:val="a3"/>
              <w:numPr>
                <w:ilvl w:val="0"/>
                <w:numId w:val="16"/>
              </w:numPr>
              <w:spacing w:line="460" w:lineRule="exact"/>
              <w:ind w:leftChars="0" w:left="1410" w:hanging="276"/>
              <w:jc w:val="both"/>
              <w:rPr>
                <w:rFonts w:ascii="標楷體" w:eastAsia="標楷體" w:hAnsi="標楷體"/>
                <w:b/>
                <w:sz w:val="28"/>
                <w:szCs w:val="28"/>
              </w:rPr>
            </w:pPr>
            <w:r w:rsidRPr="0072105D">
              <w:rPr>
                <w:rFonts w:ascii="標楷體" w:eastAsia="標楷體" w:hAnsi="標楷體" w:hint="eastAsia"/>
                <w:b/>
                <w:sz w:val="28"/>
                <w:szCs w:val="28"/>
              </w:rPr>
              <w:t>作業風險</w:t>
            </w:r>
            <w:r w:rsidR="002576A4" w:rsidRPr="0072105D">
              <w:rPr>
                <w:rFonts w:ascii="標楷體" w:eastAsia="標楷體" w:hAnsi="標楷體"/>
                <w:b/>
                <w:sz w:val="28"/>
                <w:szCs w:val="28"/>
              </w:rPr>
              <w:t>應計提資本</w:t>
            </w:r>
            <w:r w:rsidR="00C728FC" w:rsidRPr="0072105D">
              <w:rPr>
                <w:rFonts w:ascii="標楷體" w:eastAsia="標楷體" w:hAnsi="標楷體" w:cs="新細明體" w:hint="eastAsia"/>
                <w:b/>
                <w:sz w:val="28"/>
                <w:szCs w:val="28"/>
              </w:rPr>
              <w:t>申報錯誤</w:t>
            </w:r>
            <w:r w:rsidRPr="0072105D">
              <w:rPr>
                <w:rFonts w:ascii="標楷體" w:eastAsia="標楷體" w:hAnsi="標楷體" w:hint="eastAsia"/>
                <w:b/>
                <w:sz w:val="28"/>
                <w:szCs w:val="28"/>
              </w:rPr>
              <w:t>：</w:t>
            </w:r>
          </w:p>
          <w:p w:rsidR="004E6CA4" w:rsidRPr="0072105D" w:rsidRDefault="00562C7F" w:rsidP="00562C7F">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(1)</w:t>
            </w:r>
            <w:r w:rsidR="00700FDE" w:rsidRPr="0072105D">
              <w:rPr>
                <w:rFonts w:ascii="標楷體" w:eastAsia="標楷體" w:hAnsi="標楷體" w:hint="eastAsia"/>
                <w:b/>
                <w:sz w:val="28"/>
                <w:szCs w:val="28"/>
              </w:rPr>
              <w:t>誤將</w:t>
            </w:r>
            <w:r w:rsidR="00724D22" w:rsidRPr="0072105D">
              <w:rPr>
                <w:rFonts w:ascii="標楷體" w:eastAsia="標楷體" w:hAnsi="標楷體" w:hint="eastAsia"/>
                <w:b/>
                <w:sz w:val="28"/>
                <w:szCs w:val="28"/>
              </w:rPr>
              <w:t>屬特殊或異常項目</w:t>
            </w:r>
            <w:r w:rsidRPr="0072105D">
              <w:rPr>
                <w:rFonts w:ascii="標楷體" w:eastAsia="標楷體" w:hAnsi="標楷體" w:hint="eastAsia"/>
                <w:b/>
                <w:sz w:val="28"/>
                <w:szCs w:val="28"/>
              </w:rPr>
              <w:t>(</w:t>
            </w:r>
            <w:r w:rsidR="00724D22" w:rsidRPr="0072105D">
              <w:rPr>
                <w:rFonts w:ascii="標楷體" w:eastAsia="標楷體" w:hAnsi="標楷體" w:hint="eastAsia"/>
                <w:b/>
                <w:sz w:val="28"/>
                <w:szCs w:val="28"/>
              </w:rPr>
              <w:t>資產報廢損失</w:t>
            </w:r>
            <w:r w:rsidR="005368F5" w:rsidRPr="0072105D">
              <w:rPr>
                <w:rFonts w:ascii="標楷體" w:eastAsia="標楷體" w:hAnsi="標楷體" w:hint="eastAsia"/>
                <w:b/>
                <w:sz w:val="28"/>
                <w:szCs w:val="28"/>
              </w:rPr>
              <w:t>、罰鍰</w:t>
            </w:r>
            <w:r w:rsidR="00724D22" w:rsidRPr="0072105D">
              <w:rPr>
                <w:rFonts w:ascii="標楷體" w:eastAsia="標楷體" w:hAnsi="標楷體" w:hint="eastAsia"/>
                <w:b/>
                <w:sz w:val="28"/>
                <w:szCs w:val="28"/>
              </w:rPr>
              <w:t>等</w:t>
            </w:r>
            <w:r w:rsidRPr="0072105D">
              <w:rPr>
                <w:rFonts w:ascii="標楷體" w:eastAsia="標楷體" w:hAnsi="標楷體" w:hint="eastAsia"/>
                <w:b/>
                <w:sz w:val="28"/>
                <w:szCs w:val="28"/>
              </w:rPr>
              <w:t>)</w:t>
            </w:r>
            <w:r w:rsidR="00724D22" w:rsidRPr="0072105D">
              <w:rPr>
                <w:rFonts w:ascii="標楷體" w:eastAsia="標楷體" w:hAnsi="標楷體" w:hint="eastAsia"/>
                <w:b/>
                <w:sz w:val="28"/>
                <w:szCs w:val="28"/>
              </w:rPr>
              <w:t>自營業毛利扣</w:t>
            </w:r>
            <w:r w:rsidR="00700FDE" w:rsidRPr="0072105D">
              <w:rPr>
                <w:rFonts w:ascii="標楷體" w:eastAsia="標楷體" w:hAnsi="標楷體" w:hint="eastAsia"/>
                <w:b/>
                <w:sz w:val="28"/>
                <w:szCs w:val="28"/>
              </w:rPr>
              <w:t>除</w:t>
            </w:r>
            <w:r w:rsidR="00724D22" w:rsidRPr="0072105D">
              <w:rPr>
                <w:rFonts w:ascii="標楷體" w:eastAsia="標楷體" w:hAnsi="標楷體" w:hint="eastAsia"/>
                <w:b/>
                <w:sz w:val="28"/>
                <w:szCs w:val="28"/>
              </w:rPr>
              <w:t>，</w:t>
            </w:r>
            <w:r w:rsidR="004E6CA4" w:rsidRPr="0072105D">
              <w:rPr>
                <w:rFonts w:ascii="標楷體" w:eastAsia="標楷體" w:hAnsi="標楷體" w:hint="eastAsia"/>
                <w:b/>
                <w:sz w:val="28"/>
                <w:szCs w:val="28"/>
              </w:rPr>
              <w:t>致</w:t>
            </w:r>
            <w:r w:rsidR="004E6CA4" w:rsidRPr="0072105D">
              <w:rPr>
                <w:rFonts w:ascii="標楷體" w:eastAsia="標楷體" w:hAnsi="標楷體"/>
                <w:b/>
                <w:sz w:val="28"/>
                <w:szCs w:val="28"/>
              </w:rPr>
              <w:t>作業風險應計提資本</w:t>
            </w:r>
            <w:r w:rsidR="007E2BFA" w:rsidRPr="0072105D">
              <w:rPr>
                <w:rFonts w:ascii="標楷體" w:eastAsia="標楷體" w:hAnsi="標楷體" w:hint="eastAsia"/>
                <w:b/>
                <w:sz w:val="28"/>
                <w:szCs w:val="28"/>
              </w:rPr>
              <w:t>少</w:t>
            </w:r>
            <w:r w:rsidR="004E6CA4" w:rsidRPr="0072105D">
              <w:rPr>
                <w:rFonts w:ascii="標楷體" w:eastAsia="標楷體" w:hAnsi="標楷體" w:hint="eastAsia"/>
                <w:b/>
                <w:sz w:val="28"/>
                <w:szCs w:val="28"/>
              </w:rPr>
              <w:t>列。</w:t>
            </w:r>
          </w:p>
          <w:p w:rsidR="00C3412F" w:rsidRPr="00742216" w:rsidRDefault="00562C7F" w:rsidP="00562C7F">
            <w:pPr>
              <w:spacing w:line="460" w:lineRule="exact"/>
              <w:ind w:leftChars="588" w:left="1834" w:hangingChars="151" w:hanging="423"/>
              <w:jc w:val="both"/>
              <w:rPr>
                <w:rFonts w:ascii="標楷體" w:eastAsia="標楷體" w:hAnsi="標楷體"/>
                <w:b/>
                <w:sz w:val="28"/>
                <w:szCs w:val="28"/>
              </w:rPr>
            </w:pPr>
            <w:r w:rsidRPr="0072105D">
              <w:rPr>
                <w:rFonts w:ascii="標楷體" w:eastAsia="標楷體" w:hAnsi="標楷體" w:hint="eastAsia"/>
                <w:b/>
                <w:sz w:val="28"/>
                <w:szCs w:val="28"/>
              </w:rPr>
              <w:t>(2)</w:t>
            </w:r>
            <w:r w:rsidR="00742216" w:rsidRPr="00742216">
              <w:rPr>
                <w:rFonts w:ascii="標楷體" w:eastAsia="標楷體" w:hAnsi="標楷體" w:hint="eastAsia"/>
                <w:b/>
                <w:sz w:val="28"/>
                <w:szCs w:val="28"/>
              </w:rPr>
              <w:t>漏未</w:t>
            </w:r>
            <w:r w:rsidR="00742216">
              <w:rPr>
                <w:rFonts w:ascii="標楷體" w:eastAsia="標楷體" w:hAnsi="標楷體" w:hint="eastAsia"/>
                <w:b/>
                <w:sz w:val="28"/>
                <w:szCs w:val="28"/>
              </w:rPr>
              <w:t>將</w:t>
            </w:r>
            <w:r w:rsidR="00966B31" w:rsidRPr="00742216">
              <w:rPr>
                <w:rFonts w:ascii="標楷體" w:eastAsia="標楷體" w:hAnsi="標楷體" w:hint="eastAsia"/>
                <w:b/>
                <w:sz w:val="28"/>
                <w:szCs w:val="28"/>
              </w:rPr>
              <w:t>「</w:t>
            </w:r>
            <w:r w:rsidR="00C3412F" w:rsidRPr="00742216">
              <w:rPr>
                <w:rFonts w:ascii="標楷體" w:eastAsia="標楷體" w:hAnsi="標楷體" w:hint="eastAsia"/>
                <w:b/>
                <w:sz w:val="28"/>
                <w:szCs w:val="28"/>
              </w:rPr>
              <w:t>備供出售金融資產已實現利益</w:t>
            </w:r>
            <w:r w:rsidR="00966B31" w:rsidRPr="00742216">
              <w:rPr>
                <w:rFonts w:ascii="標楷體" w:eastAsia="標楷體" w:hAnsi="標楷體" w:hint="eastAsia"/>
                <w:b/>
                <w:sz w:val="28"/>
                <w:szCs w:val="28"/>
              </w:rPr>
              <w:t>」</w:t>
            </w:r>
            <w:r w:rsidR="00C3412F" w:rsidRPr="00742216">
              <w:rPr>
                <w:rFonts w:ascii="標楷體" w:eastAsia="標楷體" w:hAnsi="標楷體" w:hint="eastAsia"/>
                <w:b/>
                <w:sz w:val="28"/>
                <w:szCs w:val="28"/>
              </w:rPr>
              <w:t>屬金融資產股息紅利收入，列入營業毛利計算，致</w:t>
            </w:r>
            <w:r w:rsidR="00C3412F" w:rsidRPr="00742216">
              <w:rPr>
                <w:rFonts w:ascii="標楷體" w:eastAsia="標楷體" w:hAnsi="標楷體"/>
                <w:b/>
                <w:sz w:val="28"/>
                <w:szCs w:val="28"/>
              </w:rPr>
              <w:t>作業風險應計提資本</w:t>
            </w:r>
            <w:r w:rsidR="00C3412F" w:rsidRPr="00742216">
              <w:rPr>
                <w:rFonts w:ascii="標楷體" w:eastAsia="標楷體" w:hAnsi="標楷體" w:hint="eastAsia"/>
                <w:b/>
                <w:sz w:val="28"/>
                <w:szCs w:val="28"/>
              </w:rPr>
              <w:t>少列。</w:t>
            </w:r>
          </w:p>
          <w:p w:rsidR="00C3412F" w:rsidRPr="0072105D" w:rsidRDefault="00562C7F" w:rsidP="00562C7F">
            <w:pPr>
              <w:spacing w:line="460" w:lineRule="exact"/>
              <w:ind w:leftChars="588" w:left="1834" w:hangingChars="151" w:hanging="423"/>
              <w:jc w:val="both"/>
              <w:rPr>
                <w:rFonts w:ascii="標楷體" w:eastAsia="標楷體" w:hAnsi="標楷體"/>
                <w:b/>
                <w:sz w:val="28"/>
                <w:szCs w:val="28"/>
              </w:rPr>
            </w:pPr>
            <w:r w:rsidRPr="00742216">
              <w:rPr>
                <w:rFonts w:ascii="標楷體" w:eastAsia="標楷體" w:hAnsi="標楷體" w:hint="eastAsia"/>
                <w:b/>
                <w:sz w:val="28"/>
                <w:szCs w:val="28"/>
              </w:rPr>
              <w:t>(3)</w:t>
            </w:r>
            <w:r w:rsidR="0072105D" w:rsidRPr="00742216">
              <w:rPr>
                <w:rFonts w:ascii="標楷體" w:eastAsia="標楷體" w:hAnsi="標楷體" w:hint="eastAsia"/>
                <w:b/>
                <w:sz w:val="28"/>
                <w:szCs w:val="28"/>
              </w:rPr>
              <w:t>漏未扣除</w:t>
            </w:r>
            <w:proofErr w:type="gramStart"/>
            <w:r w:rsidR="0072105D" w:rsidRPr="00742216">
              <w:rPr>
                <w:rFonts w:ascii="標楷體" w:eastAsia="標楷體" w:hAnsi="標楷體" w:hint="eastAsia"/>
                <w:b/>
                <w:sz w:val="28"/>
                <w:szCs w:val="28"/>
              </w:rPr>
              <w:t>銀行簿備供</w:t>
            </w:r>
            <w:proofErr w:type="gramEnd"/>
            <w:r w:rsidR="0072105D" w:rsidRPr="00742216">
              <w:rPr>
                <w:rFonts w:ascii="標楷體" w:eastAsia="標楷體" w:hAnsi="標楷體" w:hint="eastAsia"/>
                <w:b/>
                <w:sz w:val="28"/>
                <w:szCs w:val="28"/>
              </w:rPr>
              <w:t>出售金融資產之已實現出售損益</w:t>
            </w:r>
            <w:r w:rsidR="00C3412F" w:rsidRPr="00742216">
              <w:rPr>
                <w:rFonts w:ascii="標楷體" w:eastAsia="標楷體" w:hAnsi="標楷體" w:hint="eastAsia"/>
                <w:b/>
                <w:sz w:val="28"/>
                <w:szCs w:val="28"/>
              </w:rPr>
              <w:t>，致</w:t>
            </w:r>
            <w:r w:rsidR="00742216" w:rsidRPr="00742216">
              <w:rPr>
                <w:rFonts w:ascii="標楷體" w:eastAsia="標楷體" w:hAnsi="標楷體" w:hint="eastAsia"/>
                <w:b/>
                <w:sz w:val="28"/>
                <w:szCs w:val="28"/>
              </w:rPr>
              <w:t>營業毛利</w:t>
            </w:r>
            <w:r w:rsidR="00742216">
              <w:rPr>
                <w:rFonts w:ascii="標楷體" w:eastAsia="標楷體" w:hAnsi="標楷體" w:hint="eastAsia"/>
                <w:b/>
                <w:sz w:val="28"/>
                <w:szCs w:val="28"/>
              </w:rPr>
              <w:t>多列，</w:t>
            </w:r>
            <w:r w:rsidR="00C3412F" w:rsidRPr="00742216">
              <w:rPr>
                <w:rFonts w:ascii="標楷體" w:eastAsia="標楷體" w:hAnsi="標楷體"/>
                <w:b/>
                <w:sz w:val="28"/>
                <w:szCs w:val="28"/>
              </w:rPr>
              <w:t>作業風險應計提資</w:t>
            </w:r>
            <w:r w:rsidR="00C3412F" w:rsidRPr="0072105D">
              <w:rPr>
                <w:rFonts w:ascii="標楷體" w:eastAsia="標楷體" w:hAnsi="標楷體"/>
                <w:b/>
                <w:sz w:val="28"/>
                <w:szCs w:val="28"/>
              </w:rPr>
              <w:t>本</w:t>
            </w:r>
            <w:r w:rsidR="00F714A8" w:rsidRPr="0072105D">
              <w:rPr>
                <w:rFonts w:ascii="標楷體" w:eastAsia="標楷體" w:hAnsi="標楷體" w:hint="eastAsia"/>
                <w:b/>
                <w:sz w:val="28"/>
                <w:szCs w:val="28"/>
              </w:rPr>
              <w:t>多</w:t>
            </w:r>
            <w:r w:rsidR="00C3412F" w:rsidRPr="0072105D">
              <w:rPr>
                <w:rFonts w:ascii="標楷體" w:eastAsia="標楷體" w:hAnsi="標楷體" w:hint="eastAsia"/>
                <w:b/>
                <w:sz w:val="28"/>
                <w:szCs w:val="28"/>
              </w:rPr>
              <w:t>列。</w:t>
            </w:r>
          </w:p>
          <w:p w:rsidR="00307F7B" w:rsidRPr="0072105D"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72105D">
              <w:rPr>
                <w:rFonts w:ascii="標楷體" w:eastAsia="標楷體" w:hAnsi="標楷體"/>
                <w:b/>
                <w:sz w:val="28"/>
                <w:szCs w:val="28"/>
              </w:rPr>
              <w:t>申報「FI225自有資本與風險性資產比率計算表」，所有項目</w:t>
            </w:r>
            <w:r w:rsidRPr="0072105D">
              <w:rPr>
                <w:rFonts w:ascii="標楷體" w:eastAsia="標楷體" w:hAnsi="標楷體" w:hint="eastAsia"/>
                <w:b/>
                <w:sz w:val="28"/>
                <w:szCs w:val="28"/>
              </w:rPr>
              <w:t>金額均</w:t>
            </w:r>
            <w:r w:rsidRPr="0072105D">
              <w:rPr>
                <w:rFonts w:ascii="標楷體" w:eastAsia="標楷體" w:hAnsi="標楷體"/>
                <w:b/>
                <w:sz w:val="28"/>
                <w:szCs w:val="28"/>
              </w:rPr>
              <w:t>四捨五入</w:t>
            </w:r>
            <w:r w:rsidRPr="0072105D">
              <w:rPr>
                <w:rFonts w:ascii="標楷體" w:eastAsia="標楷體" w:hAnsi="標楷體" w:hint="eastAsia"/>
                <w:b/>
                <w:sz w:val="28"/>
                <w:szCs w:val="28"/>
              </w:rPr>
              <w:t>至千元</w:t>
            </w:r>
            <w:r w:rsidRPr="0072105D">
              <w:rPr>
                <w:rFonts w:ascii="標楷體" w:eastAsia="標楷體" w:hAnsi="標楷體"/>
                <w:b/>
                <w:sz w:val="28"/>
                <w:szCs w:val="28"/>
              </w:rPr>
              <w:t>再乘以1,000元方式填報，未確實依正確金額填報</w:t>
            </w:r>
            <w:r w:rsidRPr="0072105D">
              <w:rPr>
                <w:rFonts w:ascii="標楷體" w:eastAsia="標楷體" w:hAnsi="標楷體" w:hint="eastAsia"/>
                <w:b/>
                <w:sz w:val="28"/>
                <w:szCs w:val="28"/>
              </w:rPr>
              <w:t>。</w:t>
            </w:r>
          </w:p>
          <w:p w:rsidR="00C768FA" w:rsidRPr="0072105D"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72105D">
              <w:rPr>
                <w:rFonts w:ascii="標楷體" w:eastAsia="標楷體" w:hAnsi="標楷體"/>
                <w:b/>
                <w:sz w:val="28"/>
                <w:szCs w:val="28"/>
              </w:rPr>
              <w:t>未依「信用合作社</w:t>
            </w:r>
            <w:proofErr w:type="gramStart"/>
            <w:r w:rsidRPr="0072105D">
              <w:rPr>
                <w:rFonts w:ascii="標楷體" w:eastAsia="標楷體" w:hAnsi="標楷體"/>
                <w:b/>
                <w:sz w:val="28"/>
                <w:szCs w:val="28"/>
              </w:rPr>
              <w:t>採行新巴塞</w:t>
            </w:r>
            <w:proofErr w:type="gramEnd"/>
            <w:r w:rsidRPr="0072105D">
              <w:rPr>
                <w:rFonts w:ascii="標楷體" w:eastAsia="標楷體" w:hAnsi="標楷體"/>
                <w:b/>
                <w:sz w:val="28"/>
                <w:szCs w:val="28"/>
              </w:rPr>
              <w:t>爾資本協定簡易標準法自有資本與風險性資產計算方法說明」規定訂定交易</w:t>
            </w:r>
            <w:proofErr w:type="gramStart"/>
            <w:r w:rsidRPr="0072105D">
              <w:rPr>
                <w:rFonts w:ascii="標楷體" w:eastAsia="標楷體" w:hAnsi="標楷體"/>
                <w:b/>
                <w:sz w:val="28"/>
                <w:szCs w:val="28"/>
              </w:rPr>
              <w:t>簿</w:t>
            </w:r>
            <w:proofErr w:type="gramEnd"/>
            <w:r w:rsidRPr="0072105D">
              <w:rPr>
                <w:rFonts w:ascii="標楷體" w:eastAsia="標楷體" w:hAnsi="標楷體"/>
                <w:b/>
                <w:sz w:val="28"/>
                <w:szCs w:val="28"/>
              </w:rPr>
              <w:t>政策與程序，</w:t>
            </w:r>
            <w:r w:rsidRPr="0072105D">
              <w:rPr>
                <w:rFonts w:ascii="標楷體" w:eastAsia="標楷體" w:hAnsi="標楷體" w:hint="eastAsia"/>
                <w:b/>
                <w:sz w:val="28"/>
                <w:szCs w:val="28"/>
              </w:rPr>
              <w:t>內部稽核亦尚未對遵循交易</w:t>
            </w:r>
            <w:proofErr w:type="gramStart"/>
            <w:r w:rsidRPr="0072105D">
              <w:rPr>
                <w:rFonts w:ascii="標楷體" w:eastAsia="標楷體" w:hAnsi="標楷體" w:hint="eastAsia"/>
                <w:b/>
                <w:sz w:val="28"/>
                <w:szCs w:val="28"/>
              </w:rPr>
              <w:t>簿</w:t>
            </w:r>
            <w:proofErr w:type="gramEnd"/>
            <w:r w:rsidRPr="0072105D">
              <w:rPr>
                <w:rFonts w:ascii="標楷體" w:eastAsia="標楷體" w:hAnsi="標楷體" w:hint="eastAsia"/>
                <w:b/>
                <w:sz w:val="28"/>
                <w:szCs w:val="28"/>
              </w:rPr>
              <w:t>相關政策與程序之執行情形進行定期查核。</w:t>
            </w:r>
          </w:p>
          <w:p w:rsidR="00307F7B" w:rsidRPr="00307F7B" w:rsidRDefault="00307F7B" w:rsidP="00307F7B">
            <w:pPr>
              <w:pStyle w:val="a3"/>
              <w:spacing w:line="460" w:lineRule="exact"/>
              <w:ind w:leftChars="0" w:left="1410" w:firstLine="0"/>
              <w:jc w:val="both"/>
              <w:rPr>
                <w:rFonts w:ascii="標楷體" w:eastAsia="標楷體" w:hAnsi="標楷體"/>
                <w:b/>
                <w:sz w:val="28"/>
                <w:szCs w:val="28"/>
              </w:rPr>
            </w:pPr>
          </w:p>
        </w:tc>
      </w:tr>
    </w:tbl>
    <w:p w:rsidR="00431CC5" w:rsidRPr="002770C2" w:rsidRDefault="00431CC5" w:rsidP="00CD1A4B">
      <w:pPr>
        <w:spacing w:line="460" w:lineRule="exact"/>
        <w:ind w:left="1418" w:hanging="1276"/>
        <w:rPr>
          <w:rFonts w:ascii="標楷體" w:eastAsia="標楷體" w:hAnsi="標楷體" w:cs="Times New Roman"/>
          <w:b/>
          <w:sz w:val="28"/>
          <w:szCs w:val="28"/>
        </w:rPr>
      </w:pPr>
      <w:r w:rsidRPr="002770C2">
        <w:rPr>
          <w:rFonts w:ascii="標楷體" w:eastAsia="標楷體" w:hAnsi="標楷體" w:cs="Times New Roman" w:hint="eastAsia"/>
          <w:b/>
          <w:sz w:val="28"/>
          <w:szCs w:val="28"/>
        </w:rPr>
        <w:lastRenderedPageBreak/>
        <w:t>改善作法：</w:t>
      </w:r>
    </w:p>
    <w:p w:rsidR="004E1741" w:rsidRPr="002770C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2770C2">
        <w:rPr>
          <w:rFonts w:ascii="標楷體" w:eastAsia="標楷體" w:hAnsi="標楷體" w:cs="Times New Roman" w:hint="eastAsia"/>
          <w:sz w:val="28"/>
          <w:szCs w:val="28"/>
        </w:rPr>
        <w:t>參考法規：</w:t>
      </w:r>
    </w:p>
    <w:p w:rsidR="008D0AF9" w:rsidRPr="002770C2" w:rsidRDefault="00184DCB" w:rsidP="001F48C7">
      <w:pPr>
        <w:spacing w:line="460" w:lineRule="exact"/>
        <w:ind w:leftChars="177" w:left="851" w:hangingChars="152" w:hanging="426"/>
        <w:jc w:val="both"/>
        <w:rPr>
          <w:rFonts w:ascii="標楷體" w:eastAsia="標楷體" w:hAnsi="標楷體" w:cs="Times New Roman"/>
          <w:sz w:val="28"/>
          <w:szCs w:val="28"/>
        </w:rPr>
      </w:pPr>
      <w:r w:rsidRPr="002770C2">
        <w:rPr>
          <w:rFonts w:ascii="標楷體" w:eastAsia="標楷體" w:hAnsi="標楷體" w:cs="Times New Roman" w:hint="eastAsia"/>
          <w:sz w:val="28"/>
          <w:szCs w:val="28"/>
        </w:rPr>
        <w:t>(1)</w:t>
      </w:r>
      <w:r w:rsidR="008D0AF9" w:rsidRPr="002770C2">
        <w:rPr>
          <w:rFonts w:ascii="標楷體" w:eastAsia="標楷體" w:hAnsi="標楷體" w:cs="Times New Roman" w:hint="eastAsia"/>
          <w:sz w:val="28"/>
          <w:szCs w:val="28"/>
        </w:rPr>
        <w:t>信用合作社</w:t>
      </w:r>
      <w:proofErr w:type="gramStart"/>
      <w:r w:rsidR="008D0AF9" w:rsidRPr="002770C2">
        <w:rPr>
          <w:rFonts w:ascii="標楷體" w:eastAsia="標楷體" w:hAnsi="標楷體" w:cs="Times New Roman" w:hint="eastAsia"/>
          <w:sz w:val="28"/>
          <w:szCs w:val="28"/>
        </w:rPr>
        <w:t>採行新巴塞</w:t>
      </w:r>
      <w:proofErr w:type="gramEnd"/>
      <w:r w:rsidR="008D0AF9" w:rsidRPr="002770C2">
        <w:rPr>
          <w:rFonts w:ascii="標楷體" w:eastAsia="標楷體" w:hAnsi="標楷體" w:cs="Times New Roman" w:hint="eastAsia"/>
          <w:sz w:val="28"/>
          <w:szCs w:val="28"/>
        </w:rPr>
        <w:t>爾資本協定簡易標準法自有資本與風險性資產計算方法說明。</w:t>
      </w:r>
    </w:p>
    <w:p w:rsidR="00184DCB" w:rsidRPr="002770C2" w:rsidRDefault="00184DCB" w:rsidP="001F48C7">
      <w:pPr>
        <w:spacing w:line="460" w:lineRule="exact"/>
        <w:ind w:leftChars="177" w:left="851" w:hangingChars="152" w:hanging="426"/>
        <w:jc w:val="both"/>
        <w:rPr>
          <w:rFonts w:ascii="標楷體" w:eastAsia="標楷體" w:hAnsi="標楷體" w:cs="Times New Roman"/>
          <w:sz w:val="28"/>
          <w:szCs w:val="28"/>
        </w:rPr>
      </w:pPr>
      <w:r w:rsidRPr="002770C2">
        <w:rPr>
          <w:rFonts w:ascii="標楷體" w:eastAsia="標楷體" w:hAnsi="標楷體" w:cs="Times New Roman" w:hint="eastAsia"/>
          <w:sz w:val="28"/>
          <w:szCs w:val="28"/>
        </w:rPr>
        <w:t>(2)</w:t>
      </w:r>
      <w:r w:rsidR="001F48C7" w:rsidRPr="002770C2">
        <w:rPr>
          <w:rFonts w:ascii="標楷體" w:eastAsia="標楷體" w:hAnsi="標楷體" w:cs="Times New Roman" w:hint="eastAsia"/>
          <w:sz w:val="28"/>
          <w:szCs w:val="28"/>
        </w:rPr>
        <w:t>「</w:t>
      </w:r>
      <w:r w:rsidR="001F48C7" w:rsidRPr="002770C2">
        <w:rPr>
          <w:rFonts w:ascii="標楷體" w:eastAsia="標楷體" w:hAnsi="標楷體" w:cs="Times New Roman"/>
          <w:sz w:val="28"/>
          <w:szCs w:val="28"/>
        </w:rPr>
        <w:t>信用合作社統一會計制度</w:t>
      </w:r>
      <w:r w:rsidR="001F48C7" w:rsidRPr="002770C2">
        <w:rPr>
          <w:rFonts w:ascii="標楷體" w:eastAsia="標楷體" w:hAnsi="標楷體" w:cs="Times New Roman" w:hint="eastAsia"/>
          <w:sz w:val="28"/>
          <w:szCs w:val="28"/>
        </w:rPr>
        <w:t>」第2條規定，</w:t>
      </w:r>
      <w:r w:rsidR="00DD3525" w:rsidRPr="002770C2">
        <w:rPr>
          <w:rFonts w:ascii="標楷體" w:eastAsia="標楷體" w:hAnsi="標楷體" w:cs="Times New Roman" w:hint="eastAsia"/>
          <w:sz w:val="28"/>
          <w:szCs w:val="28"/>
        </w:rPr>
        <w:t>參考</w:t>
      </w:r>
      <w:r w:rsidR="001F48C7" w:rsidRPr="002770C2">
        <w:rPr>
          <w:rFonts w:ascii="標楷體" w:eastAsia="標楷體" w:hAnsi="標楷體" w:cs="Times New Roman" w:hint="eastAsia"/>
          <w:sz w:val="28"/>
          <w:szCs w:val="28"/>
        </w:rPr>
        <w:t>中華民國信用合作社聯合社訂定之</w:t>
      </w:r>
      <w:r w:rsidRPr="002770C2">
        <w:rPr>
          <w:rFonts w:ascii="標楷體" w:eastAsia="標楷體" w:hAnsi="標楷體" w:cs="Times New Roman" w:hint="eastAsia"/>
          <w:sz w:val="28"/>
          <w:szCs w:val="28"/>
        </w:rPr>
        <w:t>信用合作社會計作業規範範本。</w:t>
      </w:r>
    </w:p>
    <w:p w:rsidR="008D0AF9" w:rsidRPr="002770C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2770C2">
        <w:rPr>
          <w:rFonts w:ascii="標楷體" w:eastAsia="標楷體" w:hAnsi="標楷體" w:cs="Times New Roman" w:hint="eastAsia"/>
          <w:sz w:val="28"/>
          <w:szCs w:val="28"/>
        </w:rPr>
        <w:t>正確建檔並依規定填報及落實複核機制。</w:t>
      </w:r>
    </w:p>
    <w:p w:rsidR="008D0AF9" w:rsidRPr="002770C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2770C2">
        <w:rPr>
          <w:rFonts w:ascii="標楷體" w:eastAsia="標楷體" w:hAnsi="標楷體" w:cs="Times New Roman" w:hint="eastAsia"/>
          <w:sz w:val="28"/>
          <w:szCs w:val="28"/>
        </w:rPr>
        <w:t>內部稽核將申報資料正確性列為查核重點。</w:t>
      </w:r>
    </w:p>
    <w:p w:rsidR="00431CC5" w:rsidRPr="00EC4494" w:rsidRDefault="00431CC5" w:rsidP="008D0AF9">
      <w:pPr>
        <w:spacing w:line="460" w:lineRule="exact"/>
        <w:ind w:left="1276" w:hanging="1276"/>
        <w:jc w:val="both"/>
        <w:rPr>
          <w:rFonts w:ascii="標楷體" w:eastAsia="標楷體" w:hAnsi="標楷體" w:cs="Times New Roman"/>
          <w:sz w:val="28"/>
          <w:szCs w:val="28"/>
        </w:rPr>
      </w:pP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tblPr>
      <w:tblGrid>
        <w:gridCol w:w="8931"/>
      </w:tblGrid>
      <w:tr w:rsidR="004F6D0C" w:rsidRPr="002770C2" w:rsidTr="00EC4494">
        <w:trPr>
          <w:trHeight w:val="2733"/>
        </w:trPr>
        <w:tc>
          <w:tcPr>
            <w:tcW w:w="8931" w:type="dxa"/>
          </w:tcPr>
          <w:p w:rsidR="004F6D0C" w:rsidRPr="002770C2" w:rsidRDefault="004F6D0C" w:rsidP="008D0AF9">
            <w:pPr>
              <w:spacing w:line="460" w:lineRule="exact"/>
              <w:jc w:val="both"/>
              <w:rPr>
                <w:rFonts w:ascii="標楷體" w:eastAsia="標楷體" w:hAnsi="標楷體"/>
                <w:b/>
                <w:sz w:val="28"/>
                <w:szCs w:val="28"/>
              </w:rPr>
            </w:pPr>
            <w:r w:rsidRPr="002770C2">
              <w:rPr>
                <w:rFonts w:ascii="標楷體" w:eastAsia="標楷體" w:hAnsi="標楷體" w:hint="eastAsia"/>
                <w:b/>
                <w:sz w:val="28"/>
                <w:szCs w:val="28"/>
              </w:rPr>
              <w:lastRenderedPageBreak/>
              <w:t>態樣</w:t>
            </w:r>
            <w:proofErr w:type="gramStart"/>
            <w:r w:rsidRPr="002770C2">
              <w:rPr>
                <w:rFonts w:ascii="標楷體" w:eastAsia="標楷體" w:hAnsi="標楷體" w:hint="eastAsia"/>
                <w:b/>
                <w:sz w:val="28"/>
                <w:szCs w:val="28"/>
              </w:rPr>
              <w:t>三</w:t>
            </w:r>
            <w:proofErr w:type="gramEnd"/>
            <w:r w:rsidRPr="002770C2">
              <w:rPr>
                <w:rFonts w:ascii="標楷體" w:eastAsia="標楷體" w:hAnsi="標楷體" w:hint="eastAsia"/>
                <w:b/>
                <w:sz w:val="28"/>
                <w:szCs w:val="28"/>
              </w:rPr>
              <w:t>：建築貸款申報錯誤</w:t>
            </w:r>
            <w:r w:rsidR="00BF166A" w:rsidRPr="002770C2">
              <w:rPr>
                <w:rFonts w:ascii="標楷體" w:eastAsia="標楷體" w:hAnsi="標楷體" w:hint="eastAsia"/>
                <w:b/>
                <w:sz w:val="28"/>
                <w:szCs w:val="28"/>
              </w:rPr>
              <w:t>：</w:t>
            </w:r>
          </w:p>
          <w:p w:rsidR="004F6D0C" w:rsidRPr="002770C2" w:rsidRDefault="004F6D0C" w:rsidP="004F6D0C">
            <w:pPr>
              <w:pStyle w:val="a3"/>
              <w:numPr>
                <w:ilvl w:val="0"/>
                <w:numId w:val="12"/>
              </w:numPr>
              <w:spacing w:line="460" w:lineRule="exact"/>
              <w:ind w:leftChars="0" w:left="1452" w:hanging="284"/>
              <w:jc w:val="both"/>
              <w:rPr>
                <w:rFonts w:ascii="標楷體" w:eastAsia="標楷體" w:hAnsi="標楷體"/>
                <w:b/>
                <w:sz w:val="28"/>
                <w:szCs w:val="28"/>
              </w:rPr>
            </w:pPr>
            <w:r w:rsidRPr="002770C2">
              <w:rPr>
                <w:rFonts w:ascii="標楷體" w:eastAsia="標楷體" w:hAnsi="標楷體" w:hint="eastAsia"/>
                <w:b/>
                <w:sz w:val="28"/>
                <w:szCs w:val="28"/>
              </w:rPr>
              <w:t>借戶屬建築相關行業，未將週轉金</w:t>
            </w:r>
            <w:r w:rsidRPr="002770C2">
              <w:rPr>
                <w:rFonts w:ascii="標楷體" w:eastAsia="標楷體" w:hint="eastAsia"/>
                <w:b/>
                <w:sz w:val="28"/>
              </w:rPr>
              <w:t>、興建房屋</w:t>
            </w:r>
            <w:r w:rsidRPr="002770C2">
              <w:rPr>
                <w:rFonts w:ascii="標楷體" w:eastAsia="標楷體" w:hAnsi="標楷體" w:hint="eastAsia"/>
                <w:b/>
                <w:sz w:val="28"/>
                <w:szCs w:val="28"/>
              </w:rPr>
              <w:t>貸款列入申報。</w:t>
            </w:r>
          </w:p>
          <w:p w:rsidR="004F6D0C" w:rsidRPr="002770C2" w:rsidRDefault="004F6D0C" w:rsidP="004F6D0C">
            <w:pPr>
              <w:pStyle w:val="a3"/>
              <w:numPr>
                <w:ilvl w:val="0"/>
                <w:numId w:val="12"/>
              </w:numPr>
              <w:spacing w:line="460" w:lineRule="exact"/>
              <w:ind w:leftChars="0" w:left="1452" w:hanging="284"/>
              <w:jc w:val="both"/>
              <w:rPr>
                <w:rFonts w:ascii="標楷體" w:eastAsia="標楷體" w:hAnsi="標楷體"/>
                <w:sz w:val="28"/>
                <w:szCs w:val="28"/>
              </w:rPr>
            </w:pPr>
            <w:r w:rsidRPr="002770C2">
              <w:rPr>
                <w:rFonts w:ascii="標楷體" w:eastAsia="標楷體" w:hint="eastAsia"/>
                <w:b/>
                <w:sz w:val="28"/>
              </w:rPr>
              <w:t>從事建築投資之個人所辦理之興建房屋</w:t>
            </w:r>
            <w:r w:rsidRPr="002770C2">
              <w:rPr>
                <w:rFonts w:ascii="標楷體" w:eastAsia="標楷體" w:hAnsi="標楷體" w:hint="eastAsia"/>
                <w:b/>
                <w:sz w:val="28"/>
                <w:szCs w:val="28"/>
              </w:rPr>
              <w:t>貸款</w:t>
            </w:r>
            <w:r w:rsidRPr="002770C2">
              <w:rPr>
                <w:rFonts w:ascii="標楷體" w:eastAsia="標楷體" w:hint="eastAsia"/>
                <w:b/>
                <w:sz w:val="28"/>
              </w:rPr>
              <w:t>未列入申報</w:t>
            </w:r>
            <w:r w:rsidR="00F306DA" w:rsidRPr="002770C2">
              <w:rPr>
                <w:rFonts w:ascii="標楷體" w:eastAsia="標楷體" w:hint="eastAsia"/>
                <w:b/>
                <w:sz w:val="28"/>
              </w:rPr>
              <w:t>。</w:t>
            </w:r>
          </w:p>
        </w:tc>
      </w:tr>
    </w:tbl>
    <w:p w:rsidR="004F6D0C" w:rsidRPr="002770C2" w:rsidRDefault="004F6D0C" w:rsidP="004F6D0C">
      <w:pPr>
        <w:spacing w:line="460" w:lineRule="exact"/>
        <w:ind w:left="1418" w:hanging="1276"/>
        <w:rPr>
          <w:rFonts w:ascii="標楷體" w:eastAsia="標楷體" w:hAnsi="標楷體" w:cs="Times New Roman"/>
          <w:b/>
          <w:sz w:val="28"/>
          <w:szCs w:val="28"/>
        </w:rPr>
      </w:pPr>
      <w:r w:rsidRPr="002770C2">
        <w:rPr>
          <w:rFonts w:ascii="標楷體" w:eastAsia="標楷體" w:hAnsi="標楷體" w:cs="Times New Roman" w:hint="eastAsia"/>
          <w:b/>
          <w:sz w:val="28"/>
          <w:szCs w:val="28"/>
        </w:rPr>
        <w:t>改善作法：</w:t>
      </w:r>
    </w:p>
    <w:p w:rsidR="00596342" w:rsidRPr="002770C2" w:rsidRDefault="00596342" w:rsidP="00EF1040">
      <w:pPr>
        <w:pStyle w:val="a3"/>
        <w:numPr>
          <w:ilvl w:val="0"/>
          <w:numId w:val="14"/>
        </w:numPr>
        <w:spacing w:line="460" w:lineRule="exact"/>
        <w:ind w:leftChars="0" w:left="426" w:hanging="284"/>
        <w:jc w:val="both"/>
        <w:rPr>
          <w:rFonts w:ascii="標楷體" w:eastAsia="標楷體" w:hAnsi="標楷體" w:cs="Times New Roman"/>
          <w:sz w:val="28"/>
          <w:szCs w:val="28"/>
        </w:rPr>
      </w:pPr>
      <w:r w:rsidRPr="002770C2">
        <w:rPr>
          <w:rFonts w:ascii="標楷體" w:eastAsia="標楷體" w:hAnsi="標楷體" w:cs="Times New Roman" w:hint="eastAsia"/>
          <w:sz w:val="28"/>
          <w:szCs w:val="28"/>
        </w:rPr>
        <w:t>參考法規：</w:t>
      </w:r>
    </w:p>
    <w:p w:rsidR="00596342" w:rsidRPr="002770C2" w:rsidRDefault="00596342" w:rsidP="00EF1040">
      <w:pPr>
        <w:spacing w:line="460" w:lineRule="exact"/>
        <w:ind w:left="426"/>
        <w:jc w:val="both"/>
        <w:rPr>
          <w:rFonts w:ascii="標楷體" w:eastAsia="標楷體" w:hAnsi="標楷體" w:cs="Times New Roman"/>
          <w:sz w:val="28"/>
          <w:szCs w:val="28"/>
        </w:rPr>
      </w:pPr>
      <w:r w:rsidRPr="002770C2">
        <w:rPr>
          <w:rFonts w:ascii="標楷體" w:eastAsia="標楷體" w:hAnsi="標楷體" w:cs="Times New Roman" w:hint="eastAsia"/>
          <w:sz w:val="28"/>
          <w:szCs w:val="28"/>
        </w:rPr>
        <w:t>FI395信用合作社授信業務申報資料表填報說明之定義：</w:t>
      </w:r>
    </w:p>
    <w:p w:rsidR="00596342" w:rsidRPr="002770C2" w:rsidRDefault="00263721" w:rsidP="00EF1040">
      <w:pPr>
        <w:spacing w:line="460" w:lineRule="exact"/>
        <w:ind w:leftChars="177" w:left="848" w:hangingChars="151" w:hanging="423"/>
        <w:jc w:val="both"/>
        <w:rPr>
          <w:rFonts w:ascii="標楷體" w:eastAsia="標楷體" w:hAnsi="標楷體" w:cs="Times New Roman"/>
          <w:sz w:val="28"/>
          <w:szCs w:val="28"/>
        </w:rPr>
      </w:pPr>
      <w:r w:rsidRPr="002770C2">
        <w:rPr>
          <w:rFonts w:ascii="標楷體" w:eastAsia="標楷體" w:hAnsi="標楷體" w:cs="Times New Roman" w:hint="eastAsia"/>
          <w:sz w:val="28"/>
          <w:szCs w:val="28"/>
        </w:rPr>
        <w:t>(1)</w:t>
      </w:r>
      <w:r w:rsidR="00596342" w:rsidRPr="002770C2">
        <w:rPr>
          <w:rFonts w:ascii="標楷體" w:eastAsia="標楷體" w:hAnsi="標楷體" w:cs="Times New Roman" w:hint="eastAsia"/>
          <w:sz w:val="28"/>
          <w:szCs w:val="28"/>
        </w:rPr>
        <w:t>對建築業貸款，</w:t>
      </w:r>
      <w:r w:rsidR="00596342" w:rsidRPr="002770C2">
        <w:rPr>
          <w:rFonts w:ascii="標楷體" w:eastAsia="標楷體" w:hAnsi="標楷體" w:cs="Times New Roman"/>
          <w:sz w:val="28"/>
          <w:szCs w:val="28"/>
        </w:rPr>
        <w:t>係指對以房屋興建投資為主要業務之企業承做之購地、興建房屋及週轉金貸款</w:t>
      </w:r>
      <w:r w:rsidR="00596342" w:rsidRPr="002770C2">
        <w:rPr>
          <w:rFonts w:ascii="標楷體" w:eastAsia="標楷體" w:hAnsi="標楷體" w:cs="Times New Roman" w:hint="eastAsia"/>
          <w:sz w:val="28"/>
          <w:szCs w:val="28"/>
        </w:rPr>
        <w:t>。</w:t>
      </w:r>
    </w:p>
    <w:p w:rsidR="00596342" w:rsidRPr="002770C2" w:rsidRDefault="00596342" w:rsidP="00EF1040">
      <w:pPr>
        <w:spacing w:line="460" w:lineRule="exact"/>
        <w:ind w:leftChars="177" w:left="848" w:hangingChars="151" w:hanging="423"/>
        <w:jc w:val="both"/>
        <w:rPr>
          <w:rFonts w:ascii="標楷體" w:eastAsia="標楷體" w:hAnsi="標楷體" w:cs="Times New Roman"/>
          <w:sz w:val="28"/>
          <w:szCs w:val="28"/>
        </w:rPr>
      </w:pPr>
      <w:r w:rsidRPr="002770C2">
        <w:rPr>
          <w:rFonts w:ascii="標楷體" w:eastAsia="標楷體" w:hAnsi="標楷體" w:cs="Times New Roman" w:hint="eastAsia"/>
          <w:sz w:val="28"/>
          <w:szCs w:val="28"/>
        </w:rPr>
        <w:t>(2)對其他企業建築貸款，</w:t>
      </w:r>
      <w:r w:rsidRPr="002770C2">
        <w:rPr>
          <w:rFonts w:ascii="標楷體" w:eastAsia="標楷體" w:hAnsi="標楷體" w:cs="Times New Roman"/>
          <w:sz w:val="28"/>
          <w:szCs w:val="28"/>
        </w:rPr>
        <w:t>係指對建築業以外之企業所辦理之購地</w:t>
      </w:r>
      <w:r w:rsidRPr="002770C2">
        <w:rPr>
          <w:rFonts w:ascii="標楷體" w:eastAsia="標楷體" w:hAnsi="標楷體" w:cs="Times New Roman" w:hint="eastAsia"/>
          <w:sz w:val="28"/>
          <w:szCs w:val="28"/>
        </w:rPr>
        <w:t>及</w:t>
      </w:r>
      <w:r w:rsidRPr="002770C2">
        <w:rPr>
          <w:rFonts w:ascii="標楷體" w:eastAsia="標楷體" w:hAnsi="標楷體" w:cs="Times New Roman"/>
          <w:sz w:val="28"/>
          <w:szCs w:val="28"/>
        </w:rPr>
        <w:t>興建房屋貸款</w:t>
      </w:r>
      <w:r w:rsidRPr="002770C2">
        <w:rPr>
          <w:rFonts w:ascii="標楷體" w:eastAsia="標楷體" w:hAnsi="標楷體" w:cs="Times New Roman" w:hint="eastAsia"/>
          <w:sz w:val="28"/>
          <w:szCs w:val="28"/>
        </w:rPr>
        <w:t>。</w:t>
      </w:r>
    </w:p>
    <w:p w:rsidR="00596342" w:rsidRPr="002770C2" w:rsidRDefault="00596342" w:rsidP="00EF1040">
      <w:pPr>
        <w:spacing w:line="460" w:lineRule="exact"/>
        <w:ind w:leftChars="177" w:left="848" w:hangingChars="151" w:hanging="423"/>
        <w:jc w:val="both"/>
        <w:rPr>
          <w:rFonts w:ascii="標楷體" w:eastAsia="標楷體" w:hAnsi="標楷體" w:cs="Times New Roman"/>
          <w:sz w:val="28"/>
          <w:szCs w:val="28"/>
        </w:rPr>
      </w:pPr>
      <w:r w:rsidRPr="002770C2">
        <w:rPr>
          <w:rFonts w:ascii="標楷體" w:eastAsia="標楷體" w:hAnsi="標楷體" w:cs="Times New Roman" w:hint="eastAsia"/>
          <w:sz w:val="28"/>
          <w:szCs w:val="28"/>
        </w:rPr>
        <w:t>(3)對個人戶建築貸款，</w:t>
      </w:r>
      <w:r w:rsidRPr="002770C2">
        <w:rPr>
          <w:rFonts w:ascii="標楷體" w:eastAsia="標楷體" w:hAnsi="標楷體" w:cs="Times New Roman"/>
          <w:sz w:val="28"/>
          <w:szCs w:val="28"/>
        </w:rPr>
        <w:t>係指對從事建築投資之個人所辦理之購地</w:t>
      </w:r>
      <w:r w:rsidRPr="002770C2">
        <w:rPr>
          <w:rFonts w:ascii="標楷體" w:eastAsia="標楷體" w:hAnsi="標楷體" w:cs="Times New Roman" w:hint="eastAsia"/>
          <w:sz w:val="28"/>
          <w:szCs w:val="28"/>
        </w:rPr>
        <w:t>及</w:t>
      </w:r>
      <w:r w:rsidRPr="002770C2">
        <w:rPr>
          <w:rFonts w:ascii="標楷體" w:eastAsia="標楷體" w:hAnsi="標楷體" w:cs="Times New Roman"/>
          <w:sz w:val="28"/>
          <w:szCs w:val="28"/>
        </w:rPr>
        <w:t>興建房屋貸款。</w:t>
      </w:r>
    </w:p>
    <w:p w:rsidR="00596342" w:rsidRPr="002770C2" w:rsidRDefault="00596342" w:rsidP="00EF1040">
      <w:pPr>
        <w:spacing w:line="460" w:lineRule="exact"/>
        <w:ind w:leftChars="177" w:left="848" w:hangingChars="151" w:hanging="423"/>
        <w:jc w:val="both"/>
        <w:rPr>
          <w:rFonts w:ascii="標楷體" w:eastAsia="標楷體" w:hAnsi="標楷體" w:cs="Times New Roman"/>
          <w:sz w:val="28"/>
          <w:szCs w:val="28"/>
        </w:rPr>
      </w:pPr>
      <w:r w:rsidRPr="002770C2">
        <w:rPr>
          <w:rFonts w:ascii="標楷體" w:eastAsia="標楷體" w:hAnsi="標楷體" w:cs="Times New Roman" w:hint="eastAsia"/>
          <w:sz w:val="28"/>
          <w:szCs w:val="28"/>
        </w:rPr>
        <w:t>(4)其他</w:t>
      </w:r>
      <w:r w:rsidRPr="002770C2">
        <w:rPr>
          <w:rFonts w:ascii="標楷體" w:eastAsia="標楷體" w:hAnsi="標楷體" w:cs="Times New Roman"/>
          <w:sz w:val="28"/>
          <w:szCs w:val="28"/>
        </w:rPr>
        <w:t>建築貸款</w:t>
      </w:r>
      <w:r w:rsidRPr="002770C2">
        <w:rPr>
          <w:rFonts w:ascii="標楷體" w:eastAsia="標楷體" w:hAnsi="標楷體" w:cs="Times New Roman" w:hint="eastAsia"/>
          <w:sz w:val="28"/>
          <w:szCs w:val="28"/>
        </w:rPr>
        <w:t>（屬房屋興建屬自用部分）餘額。</w:t>
      </w:r>
    </w:p>
    <w:p w:rsidR="00596342" w:rsidRPr="002770C2" w:rsidRDefault="00596342" w:rsidP="00EF1040">
      <w:pPr>
        <w:pStyle w:val="a3"/>
        <w:numPr>
          <w:ilvl w:val="0"/>
          <w:numId w:val="14"/>
        </w:numPr>
        <w:spacing w:line="460" w:lineRule="exact"/>
        <w:ind w:leftChars="0" w:left="426" w:hanging="284"/>
        <w:jc w:val="both"/>
        <w:rPr>
          <w:rFonts w:ascii="標楷體" w:eastAsia="標楷體" w:hAnsi="標楷體" w:cs="Times New Roman"/>
          <w:sz w:val="28"/>
          <w:szCs w:val="28"/>
        </w:rPr>
      </w:pPr>
      <w:r w:rsidRPr="002770C2">
        <w:rPr>
          <w:rFonts w:ascii="標楷體" w:eastAsia="標楷體" w:hAnsi="標楷體" w:cs="Times New Roman" w:hint="eastAsia"/>
          <w:sz w:val="28"/>
          <w:szCs w:val="28"/>
        </w:rPr>
        <w:t>正確建檔並依規定填報及落實複核機制。</w:t>
      </w:r>
    </w:p>
    <w:p w:rsidR="00DE0CB0" w:rsidRPr="002770C2" w:rsidRDefault="00596342" w:rsidP="00EF1040">
      <w:pPr>
        <w:pStyle w:val="a3"/>
        <w:numPr>
          <w:ilvl w:val="0"/>
          <w:numId w:val="14"/>
        </w:numPr>
        <w:spacing w:line="460" w:lineRule="exact"/>
        <w:ind w:leftChars="0" w:left="426" w:hanging="284"/>
        <w:jc w:val="both"/>
        <w:rPr>
          <w:rFonts w:ascii="標楷體" w:eastAsia="標楷體" w:hAnsi="標楷體" w:cs="Times New Roman"/>
          <w:sz w:val="28"/>
          <w:szCs w:val="28"/>
        </w:rPr>
      </w:pPr>
      <w:r w:rsidRPr="002770C2">
        <w:rPr>
          <w:rFonts w:ascii="標楷體" w:eastAsia="標楷體" w:hAnsi="標楷體" w:cs="Times New Roman" w:hint="eastAsia"/>
          <w:sz w:val="28"/>
          <w:szCs w:val="28"/>
        </w:rPr>
        <w:t>內部稽核將申報資料正確性列為查核重點。</w:t>
      </w:r>
    </w:p>
    <w:sectPr w:rsidR="00DE0CB0" w:rsidRPr="002770C2" w:rsidSect="00EC4494">
      <w:footerReference w:type="default" r:id="rId8"/>
      <w:pgSz w:w="11906" w:h="16838"/>
      <w:pgMar w:top="1134" w:right="1418" w:bottom="1440"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1D" w:rsidRDefault="00322A1D" w:rsidP="00A42FFF">
      <w:r>
        <w:separator/>
      </w:r>
    </w:p>
  </w:endnote>
  <w:endnote w:type="continuationSeparator" w:id="0">
    <w:p w:rsidR="00322A1D" w:rsidRDefault="00322A1D"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562C7F" w:rsidRDefault="00F9008D">
        <w:pPr>
          <w:pStyle w:val="a6"/>
          <w:jc w:val="center"/>
        </w:pPr>
        <w:r>
          <w:rPr>
            <w:noProof/>
            <w:lang w:val="zh-TW"/>
          </w:rPr>
          <w:fldChar w:fldCharType="begin"/>
        </w:r>
        <w:r w:rsidR="00562C7F">
          <w:rPr>
            <w:noProof/>
            <w:lang w:val="zh-TW"/>
          </w:rPr>
          <w:instrText xml:space="preserve"> PAGE   \* MERGEFORMAT </w:instrText>
        </w:r>
        <w:r>
          <w:rPr>
            <w:noProof/>
            <w:lang w:val="zh-TW"/>
          </w:rPr>
          <w:fldChar w:fldCharType="separate"/>
        </w:r>
        <w:r w:rsidR="00EC4494">
          <w:rPr>
            <w:noProof/>
            <w:lang w:val="zh-TW"/>
          </w:rPr>
          <w:t>1</w:t>
        </w:r>
        <w:r>
          <w:rPr>
            <w:noProof/>
            <w:lang w:val="zh-TW"/>
          </w:rPr>
          <w:fldChar w:fldCharType="end"/>
        </w:r>
      </w:p>
    </w:sdtContent>
  </w:sdt>
  <w:p w:rsidR="00562C7F" w:rsidRDefault="00562C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1D" w:rsidRDefault="00322A1D" w:rsidP="00A42FFF">
      <w:r>
        <w:separator/>
      </w:r>
    </w:p>
  </w:footnote>
  <w:footnote w:type="continuationSeparator" w:id="0">
    <w:p w:rsidR="00322A1D" w:rsidRDefault="00322A1D"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E12"/>
    <w:multiLevelType w:val="hybridMultilevel"/>
    <w:tmpl w:val="A0B258B0"/>
    <w:lvl w:ilvl="0" w:tplc="5262E1B2">
      <w:start w:val="1"/>
      <w:numFmt w:val="decimal"/>
      <w:lvlText w:val="%1."/>
      <w:lvlJc w:val="left"/>
      <w:pPr>
        <w:ind w:left="1471" w:hanging="480"/>
      </w:pPr>
      <w:rPr>
        <w:rFonts w:ascii="Times New Roman" w:hint="default"/>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54C5676"/>
    <w:multiLevelType w:val="hybridMultilevel"/>
    <w:tmpl w:val="14B2650E"/>
    <w:lvl w:ilvl="0" w:tplc="0B4CE8D0">
      <w:start w:val="1"/>
      <w:numFmt w:val="taiwaneseCountingThousand"/>
      <w:lvlText w:val="(%1)"/>
      <w:lvlJc w:val="left"/>
      <w:pPr>
        <w:ind w:left="480" w:hanging="480"/>
      </w:pPr>
      <w:rPr>
        <w:rFonts w:hint="default"/>
        <w:spacing w:val="40"/>
      </w:rPr>
    </w:lvl>
    <w:lvl w:ilvl="1" w:tplc="3706523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D31B7"/>
    <w:multiLevelType w:val="hybridMultilevel"/>
    <w:tmpl w:val="C3460374"/>
    <w:lvl w:ilvl="0" w:tplc="E7B83B1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CC1B89"/>
    <w:multiLevelType w:val="hybridMultilevel"/>
    <w:tmpl w:val="FAE23C8A"/>
    <w:lvl w:ilvl="0" w:tplc="0D0AB3EE">
      <w:start w:val="1"/>
      <w:numFmt w:val="decimal"/>
      <w:lvlText w:val="%1."/>
      <w:lvlJc w:val="left"/>
      <w:pPr>
        <w:ind w:left="794"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4">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6">
    <w:nsid w:val="27CC6D91"/>
    <w:multiLevelType w:val="hybridMultilevel"/>
    <w:tmpl w:val="EBD0367E"/>
    <w:lvl w:ilvl="0" w:tplc="ECCCF2FE">
      <w:start w:val="1"/>
      <w:numFmt w:val="decimal"/>
      <w:lvlText w:val="%1."/>
      <w:lvlJc w:val="left"/>
      <w:pPr>
        <w:ind w:left="1494" w:hanging="360"/>
      </w:pPr>
      <w:rPr>
        <w:rFonts w:hint="default"/>
      </w:rPr>
    </w:lvl>
    <w:lvl w:ilvl="1" w:tplc="F5A674C6">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30EC005C"/>
    <w:multiLevelType w:val="hybridMultilevel"/>
    <w:tmpl w:val="341A2714"/>
    <w:lvl w:ilvl="0" w:tplc="9E940BB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40AF3792"/>
    <w:multiLevelType w:val="hybridMultilevel"/>
    <w:tmpl w:val="1A4295C2"/>
    <w:lvl w:ilvl="0" w:tplc="FE1038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C24D6F"/>
    <w:multiLevelType w:val="hybridMultilevel"/>
    <w:tmpl w:val="D1A89FD6"/>
    <w:lvl w:ilvl="0" w:tplc="41D4CA34">
      <w:start w:val="1"/>
      <w:numFmt w:val="decimal"/>
      <w:lvlText w:val="（%1）"/>
      <w:lvlJc w:val="left"/>
      <w:pPr>
        <w:ind w:left="1890" w:hanging="480"/>
      </w:pPr>
      <w:rPr>
        <w:rFonts w:hint="default"/>
      </w:rPr>
    </w:lvl>
    <w:lvl w:ilvl="1" w:tplc="41D4CA34">
      <w:start w:val="1"/>
      <w:numFmt w:val="decimal"/>
      <w:lvlText w:val="（%2）"/>
      <w:lvlJc w:val="left"/>
      <w:pPr>
        <w:ind w:left="2370" w:hanging="48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0">
    <w:nsid w:val="4FC21D27"/>
    <w:multiLevelType w:val="hybridMultilevel"/>
    <w:tmpl w:val="E2102CFC"/>
    <w:lvl w:ilvl="0" w:tplc="394CAA82">
      <w:start w:val="1"/>
      <w:numFmt w:val="decimal"/>
      <w:lvlText w:val="（%1）"/>
      <w:lvlJc w:val="left"/>
      <w:pPr>
        <w:ind w:left="1494"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1A2710"/>
    <w:multiLevelType w:val="hybridMultilevel"/>
    <w:tmpl w:val="5BE01B56"/>
    <w:lvl w:ilvl="0" w:tplc="F5FEB39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3">
    <w:nsid w:val="5B213A69"/>
    <w:multiLevelType w:val="hybridMultilevel"/>
    <w:tmpl w:val="0158E50C"/>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
    <w:nsid w:val="613E61D4"/>
    <w:multiLevelType w:val="hybridMultilevel"/>
    <w:tmpl w:val="03005560"/>
    <w:lvl w:ilvl="0" w:tplc="84AC43C2">
      <w:start w:val="1"/>
      <w:numFmt w:val="decimal"/>
      <w:lvlText w:val="(%1)"/>
      <w:lvlJc w:val="left"/>
      <w:pPr>
        <w:ind w:left="1047" w:hanging="480"/>
      </w:pPr>
      <w:rPr>
        <w:rFonts w:ascii="標楷體" w:eastAsia="標楷體" w:hAnsi="標楷體"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26E5D64"/>
    <w:multiLevelType w:val="hybridMultilevel"/>
    <w:tmpl w:val="6B307366"/>
    <w:lvl w:ilvl="0" w:tplc="A31CE0F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0109B2"/>
    <w:multiLevelType w:val="hybridMultilevel"/>
    <w:tmpl w:val="43FA4190"/>
    <w:lvl w:ilvl="0" w:tplc="8898C63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7F7448"/>
    <w:multiLevelType w:val="hybridMultilevel"/>
    <w:tmpl w:val="DCC4CCBC"/>
    <w:lvl w:ilvl="0" w:tplc="BA8AF04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nsid w:val="711334B6"/>
    <w:multiLevelType w:val="hybridMultilevel"/>
    <w:tmpl w:val="2310A174"/>
    <w:lvl w:ilvl="0" w:tplc="48660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8"/>
  </w:num>
  <w:num w:numId="3">
    <w:abstractNumId w:val="13"/>
  </w:num>
  <w:num w:numId="4">
    <w:abstractNumId w:val="1"/>
  </w:num>
  <w:num w:numId="5">
    <w:abstractNumId w:val="0"/>
  </w:num>
  <w:num w:numId="6">
    <w:abstractNumId w:val="14"/>
  </w:num>
  <w:num w:numId="7">
    <w:abstractNumId w:val="11"/>
  </w:num>
  <w:num w:numId="8">
    <w:abstractNumId w:val="7"/>
  </w:num>
  <w:num w:numId="9">
    <w:abstractNumId w:val="17"/>
  </w:num>
  <w:num w:numId="10">
    <w:abstractNumId w:val="18"/>
  </w:num>
  <w:num w:numId="11">
    <w:abstractNumId w:val="12"/>
  </w:num>
  <w:num w:numId="12">
    <w:abstractNumId w:val="2"/>
  </w:num>
  <w:num w:numId="13">
    <w:abstractNumId w:val="3"/>
  </w:num>
  <w:num w:numId="14">
    <w:abstractNumId w:val="19"/>
  </w:num>
  <w:num w:numId="15">
    <w:abstractNumId w:val="5"/>
  </w:num>
  <w:num w:numId="16">
    <w:abstractNumId w:val="6"/>
  </w:num>
  <w:num w:numId="17">
    <w:abstractNumId w:val="10"/>
  </w:num>
  <w:num w:numId="18">
    <w:abstractNumId w:val="16"/>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053A"/>
    <w:rsid w:val="00002AE3"/>
    <w:rsid w:val="0001718E"/>
    <w:rsid w:val="00022A6F"/>
    <w:rsid w:val="0003582C"/>
    <w:rsid w:val="00056A0F"/>
    <w:rsid w:val="00057FBB"/>
    <w:rsid w:val="00062F65"/>
    <w:rsid w:val="000778AE"/>
    <w:rsid w:val="00081093"/>
    <w:rsid w:val="00090962"/>
    <w:rsid w:val="000A0EF2"/>
    <w:rsid w:val="000A5DAC"/>
    <w:rsid w:val="000B04F9"/>
    <w:rsid w:val="000B3612"/>
    <w:rsid w:val="000B7245"/>
    <w:rsid w:val="000C588A"/>
    <w:rsid w:val="000E3B70"/>
    <w:rsid w:val="000E3BBC"/>
    <w:rsid w:val="000E4016"/>
    <w:rsid w:val="000E501D"/>
    <w:rsid w:val="000F4493"/>
    <w:rsid w:val="00104718"/>
    <w:rsid w:val="00115DCB"/>
    <w:rsid w:val="0011694C"/>
    <w:rsid w:val="001240DF"/>
    <w:rsid w:val="00133087"/>
    <w:rsid w:val="00134950"/>
    <w:rsid w:val="001364A6"/>
    <w:rsid w:val="00141B15"/>
    <w:rsid w:val="001427C2"/>
    <w:rsid w:val="00151F80"/>
    <w:rsid w:val="00156677"/>
    <w:rsid w:val="00182BDD"/>
    <w:rsid w:val="00184DCB"/>
    <w:rsid w:val="00185EF7"/>
    <w:rsid w:val="00191FE5"/>
    <w:rsid w:val="001933EE"/>
    <w:rsid w:val="00196166"/>
    <w:rsid w:val="001964D4"/>
    <w:rsid w:val="001A5648"/>
    <w:rsid w:val="001B7CDD"/>
    <w:rsid w:val="001C4048"/>
    <w:rsid w:val="001D45A2"/>
    <w:rsid w:val="001E0947"/>
    <w:rsid w:val="001F44BE"/>
    <w:rsid w:val="001F48C7"/>
    <w:rsid w:val="001F7FF5"/>
    <w:rsid w:val="00200C7C"/>
    <w:rsid w:val="002049F0"/>
    <w:rsid w:val="00215AB3"/>
    <w:rsid w:val="002576A4"/>
    <w:rsid w:val="00261C5B"/>
    <w:rsid w:val="00263721"/>
    <w:rsid w:val="00264C86"/>
    <w:rsid w:val="0027280D"/>
    <w:rsid w:val="00273434"/>
    <w:rsid w:val="00274E06"/>
    <w:rsid w:val="002770C2"/>
    <w:rsid w:val="002873F6"/>
    <w:rsid w:val="00297E10"/>
    <w:rsid w:val="002A1B7C"/>
    <w:rsid w:val="002A7BCC"/>
    <w:rsid w:val="002D2D16"/>
    <w:rsid w:val="00307F7B"/>
    <w:rsid w:val="00310267"/>
    <w:rsid w:val="00311743"/>
    <w:rsid w:val="0031568C"/>
    <w:rsid w:val="003156AA"/>
    <w:rsid w:val="0031602C"/>
    <w:rsid w:val="003160F4"/>
    <w:rsid w:val="00316494"/>
    <w:rsid w:val="00322A1D"/>
    <w:rsid w:val="00350532"/>
    <w:rsid w:val="003514E2"/>
    <w:rsid w:val="003566CD"/>
    <w:rsid w:val="0036448B"/>
    <w:rsid w:val="0036760B"/>
    <w:rsid w:val="00381A4D"/>
    <w:rsid w:val="003900A9"/>
    <w:rsid w:val="003A4478"/>
    <w:rsid w:val="003B10C2"/>
    <w:rsid w:val="003C10A2"/>
    <w:rsid w:val="003D02D4"/>
    <w:rsid w:val="003E32CC"/>
    <w:rsid w:val="003F0E5D"/>
    <w:rsid w:val="003F4A29"/>
    <w:rsid w:val="00406F40"/>
    <w:rsid w:val="00412853"/>
    <w:rsid w:val="00431CC5"/>
    <w:rsid w:val="00437088"/>
    <w:rsid w:val="00437483"/>
    <w:rsid w:val="0044639D"/>
    <w:rsid w:val="0046084B"/>
    <w:rsid w:val="00476D42"/>
    <w:rsid w:val="00477326"/>
    <w:rsid w:val="00482F7F"/>
    <w:rsid w:val="00483CA1"/>
    <w:rsid w:val="00485E4A"/>
    <w:rsid w:val="00493A70"/>
    <w:rsid w:val="004A0CD2"/>
    <w:rsid w:val="004A1234"/>
    <w:rsid w:val="004A5E06"/>
    <w:rsid w:val="004C0907"/>
    <w:rsid w:val="004E1741"/>
    <w:rsid w:val="004E21FE"/>
    <w:rsid w:val="004E57B7"/>
    <w:rsid w:val="004E67EB"/>
    <w:rsid w:val="004E6CA4"/>
    <w:rsid w:val="004F15E6"/>
    <w:rsid w:val="004F3F4B"/>
    <w:rsid w:val="004F6D0C"/>
    <w:rsid w:val="005139C1"/>
    <w:rsid w:val="00516F31"/>
    <w:rsid w:val="00533AAB"/>
    <w:rsid w:val="00535D4E"/>
    <w:rsid w:val="005368F5"/>
    <w:rsid w:val="00542B27"/>
    <w:rsid w:val="00543A8E"/>
    <w:rsid w:val="0055731E"/>
    <w:rsid w:val="00562C7F"/>
    <w:rsid w:val="00564A35"/>
    <w:rsid w:val="0058006F"/>
    <w:rsid w:val="005801D4"/>
    <w:rsid w:val="005833EC"/>
    <w:rsid w:val="00585F2E"/>
    <w:rsid w:val="00586FB0"/>
    <w:rsid w:val="00592ADC"/>
    <w:rsid w:val="0059544F"/>
    <w:rsid w:val="00596342"/>
    <w:rsid w:val="005A4389"/>
    <w:rsid w:val="005B4F5F"/>
    <w:rsid w:val="005C00D0"/>
    <w:rsid w:val="005C2ED4"/>
    <w:rsid w:val="005D10F5"/>
    <w:rsid w:val="005F1BFC"/>
    <w:rsid w:val="006013FE"/>
    <w:rsid w:val="006073C0"/>
    <w:rsid w:val="006102F4"/>
    <w:rsid w:val="006276B9"/>
    <w:rsid w:val="00627B0E"/>
    <w:rsid w:val="00634C52"/>
    <w:rsid w:val="00636F17"/>
    <w:rsid w:val="006448FF"/>
    <w:rsid w:val="00654EEA"/>
    <w:rsid w:val="00673E24"/>
    <w:rsid w:val="00674529"/>
    <w:rsid w:val="00675315"/>
    <w:rsid w:val="0068365A"/>
    <w:rsid w:val="006A3BE6"/>
    <w:rsid w:val="006B20B9"/>
    <w:rsid w:val="006C7873"/>
    <w:rsid w:val="006D1C41"/>
    <w:rsid w:val="006E00DD"/>
    <w:rsid w:val="00700FDE"/>
    <w:rsid w:val="00701B02"/>
    <w:rsid w:val="00711738"/>
    <w:rsid w:val="0072105D"/>
    <w:rsid w:val="00724D22"/>
    <w:rsid w:val="00726FA3"/>
    <w:rsid w:val="00742216"/>
    <w:rsid w:val="00751A38"/>
    <w:rsid w:val="0077343C"/>
    <w:rsid w:val="007735AB"/>
    <w:rsid w:val="00774DF9"/>
    <w:rsid w:val="00793C00"/>
    <w:rsid w:val="00796959"/>
    <w:rsid w:val="00796CE7"/>
    <w:rsid w:val="007B30C8"/>
    <w:rsid w:val="007B32C9"/>
    <w:rsid w:val="007E2BFA"/>
    <w:rsid w:val="007E68E2"/>
    <w:rsid w:val="007F5B7A"/>
    <w:rsid w:val="00812933"/>
    <w:rsid w:val="00832651"/>
    <w:rsid w:val="008361CF"/>
    <w:rsid w:val="00851F64"/>
    <w:rsid w:val="00862E60"/>
    <w:rsid w:val="00865EAD"/>
    <w:rsid w:val="00872370"/>
    <w:rsid w:val="008725A6"/>
    <w:rsid w:val="008741CB"/>
    <w:rsid w:val="00885BD6"/>
    <w:rsid w:val="00893019"/>
    <w:rsid w:val="008A505B"/>
    <w:rsid w:val="008D0700"/>
    <w:rsid w:val="008D0AF9"/>
    <w:rsid w:val="008D3459"/>
    <w:rsid w:val="008E51DE"/>
    <w:rsid w:val="008F04D0"/>
    <w:rsid w:val="00900C9B"/>
    <w:rsid w:val="00907AA1"/>
    <w:rsid w:val="00916238"/>
    <w:rsid w:val="00922ECD"/>
    <w:rsid w:val="00923B27"/>
    <w:rsid w:val="009275C2"/>
    <w:rsid w:val="009366A0"/>
    <w:rsid w:val="00964E6C"/>
    <w:rsid w:val="00966B31"/>
    <w:rsid w:val="009905FF"/>
    <w:rsid w:val="009967C4"/>
    <w:rsid w:val="009A2949"/>
    <w:rsid w:val="009D1CD5"/>
    <w:rsid w:val="009F188F"/>
    <w:rsid w:val="009F1C31"/>
    <w:rsid w:val="009F2A38"/>
    <w:rsid w:val="00A11D6A"/>
    <w:rsid w:val="00A25E72"/>
    <w:rsid w:val="00A4082E"/>
    <w:rsid w:val="00A42FFF"/>
    <w:rsid w:val="00A479E0"/>
    <w:rsid w:val="00A57694"/>
    <w:rsid w:val="00A655EC"/>
    <w:rsid w:val="00A66390"/>
    <w:rsid w:val="00A8263E"/>
    <w:rsid w:val="00A95069"/>
    <w:rsid w:val="00AB2690"/>
    <w:rsid w:val="00AB50D1"/>
    <w:rsid w:val="00AB70C3"/>
    <w:rsid w:val="00AC5C74"/>
    <w:rsid w:val="00AC653B"/>
    <w:rsid w:val="00AD2281"/>
    <w:rsid w:val="00AD74CA"/>
    <w:rsid w:val="00AF3443"/>
    <w:rsid w:val="00AF48C0"/>
    <w:rsid w:val="00B102E4"/>
    <w:rsid w:val="00B106E6"/>
    <w:rsid w:val="00B24D0A"/>
    <w:rsid w:val="00B272DE"/>
    <w:rsid w:val="00B41042"/>
    <w:rsid w:val="00B57846"/>
    <w:rsid w:val="00B629CB"/>
    <w:rsid w:val="00B65AF9"/>
    <w:rsid w:val="00B66228"/>
    <w:rsid w:val="00B75AEA"/>
    <w:rsid w:val="00B77BBC"/>
    <w:rsid w:val="00B82C6C"/>
    <w:rsid w:val="00B91699"/>
    <w:rsid w:val="00BA54C6"/>
    <w:rsid w:val="00BB06E6"/>
    <w:rsid w:val="00BD4B02"/>
    <w:rsid w:val="00BE7BE6"/>
    <w:rsid w:val="00BF166A"/>
    <w:rsid w:val="00BF30A9"/>
    <w:rsid w:val="00C05DEC"/>
    <w:rsid w:val="00C13B18"/>
    <w:rsid w:val="00C3412F"/>
    <w:rsid w:val="00C5656F"/>
    <w:rsid w:val="00C63DED"/>
    <w:rsid w:val="00C70D3B"/>
    <w:rsid w:val="00C728FC"/>
    <w:rsid w:val="00C768FA"/>
    <w:rsid w:val="00CB3FD4"/>
    <w:rsid w:val="00CD1A4B"/>
    <w:rsid w:val="00CD3447"/>
    <w:rsid w:val="00CD7949"/>
    <w:rsid w:val="00CE0EE8"/>
    <w:rsid w:val="00CE7D56"/>
    <w:rsid w:val="00CF2052"/>
    <w:rsid w:val="00D02EC2"/>
    <w:rsid w:val="00D101FA"/>
    <w:rsid w:val="00D163CA"/>
    <w:rsid w:val="00D2684D"/>
    <w:rsid w:val="00D31078"/>
    <w:rsid w:val="00D316A6"/>
    <w:rsid w:val="00D45287"/>
    <w:rsid w:val="00D66804"/>
    <w:rsid w:val="00D81FB8"/>
    <w:rsid w:val="00DA2F9A"/>
    <w:rsid w:val="00DB3BBC"/>
    <w:rsid w:val="00DD3525"/>
    <w:rsid w:val="00DD58B9"/>
    <w:rsid w:val="00DE0CB0"/>
    <w:rsid w:val="00DF287D"/>
    <w:rsid w:val="00E01AB4"/>
    <w:rsid w:val="00E1544C"/>
    <w:rsid w:val="00E157D9"/>
    <w:rsid w:val="00E44139"/>
    <w:rsid w:val="00E46306"/>
    <w:rsid w:val="00E552AC"/>
    <w:rsid w:val="00E61B08"/>
    <w:rsid w:val="00E620AC"/>
    <w:rsid w:val="00E6326C"/>
    <w:rsid w:val="00E66E4D"/>
    <w:rsid w:val="00E730EB"/>
    <w:rsid w:val="00E73651"/>
    <w:rsid w:val="00EA261D"/>
    <w:rsid w:val="00EB45E3"/>
    <w:rsid w:val="00EC4494"/>
    <w:rsid w:val="00EC4D76"/>
    <w:rsid w:val="00ED46A1"/>
    <w:rsid w:val="00EE4A65"/>
    <w:rsid w:val="00EF1040"/>
    <w:rsid w:val="00F02F5E"/>
    <w:rsid w:val="00F05635"/>
    <w:rsid w:val="00F16DEF"/>
    <w:rsid w:val="00F23750"/>
    <w:rsid w:val="00F306DA"/>
    <w:rsid w:val="00F57B57"/>
    <w:rsid w:val="00F714A8"/>
    <w:rsid w:val="00F718F7"/>
    <w:rsid w:val="00F7584C"/>
    <w:rsid w:val="00F77BE0"/>
    <w:rsid w:val="00F8014B"/>
    <w:rsid w:val="00F9008D"/>
    <w:rsid w:val="00F93C46"/>
    <w:rsid w:val="00FA0234"/>
    <w:rsid w:val="00FA6D5F"/>
    <w:rsid w:val="00FB4BFB"/>
    <w:rsid w:val="00FB4DF7"/>
    <w:rsid w:val="00FC39C8"/>
    <w:rsid w:val="00FD4EA2"/>
    <w:rsid w:val="00FE0E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F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F48C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1568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ABE37-F4AB-4AB3-86AD-C01AA883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300</Words>
  <Characters>1715</Characters>
  <Application>Microsoft Office Word</Application>
  <DocSecurity>0</DocSecurity>
  <Lines>14</Lines>
  <Paragraphs>4</Paragraphs>
  <ScaleCrop>false</ScaleCrop>
  <Company>CDIC</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C148</cp:lastModifiedBy>
  <cp:revision>3</cp:revision>
  <cp:lastPrinted>2021-02-22T07:14:00Z</cp:lastPrinted>
  <dcterms:created xsi:type="dcterms:W3CDTF">2021-03-08T01:20:00Z</dcterms:created>
  <dcterms:modified xsi:type="dcterms:W3CDTF">2021-03-08T02:04:00Z</dcterms:modified>
</cp:coreProperties>
</file>