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EB" w:rsidRPr="00A41434" w:rsidRDefault="004E67EB" w:rsidP="00BC4476">
      <w:pPr>
        <w:spacing w:line="460" w:lineRule="exact"/>
        <w:ind w:left="1693" w:hanging="1693"/>
        <w:jc w:val="center"/>
        <w:rPr>
          <w:rFonts w:ascii="標楷體" w:eastAsia="標楷體" w:hAnsi="標楷體" w:cs="Times New Roman"/>
          <w:b/>
          <w:kern w:val="0"/>
          <w:sz w:val="28"/>
          <w:szCs w:val="28"/>
        </w:rPr>
      </w:pPr>
      <w:r w:rsidRPr="00A41434">
        <w:rPr>
          <w:rFonts w:ascii="標楷體" w:eastAsia="標楷體" w:hAnsi="標楷體"/>
          <w:b/>
          <w:sz w:val="28"/>
          <w:szCs w:val="28"/>
        </w:rPr>
        <w:t>風險指標資料</w:t>
      </w:r>
      <w:r w:rsidRPr="00A41434">
        <w:rPr>
          <w:rFonts w:ascii="標楷體" w:eastAsia="標楷體" w:hAnsi="標楷體" w:cs="Times New Roman" w:hint="eastAsia"/>
          <w:b/>
          <w:kern w:val="0"/>
          <w:sz w:val="28"/>
          <w:szCs w:val="28"/>
        </w:rPr>
        <w:t>查核缺失態樣</w:t>
      </w:r>
      <w:r w:rsidR="00BC4476" w:rsidRPr="00A41434">
        <w:rPr>
          <w:rFonts w:ascii="標楷體" w:eastAsia="標楷體" w:hAnsi="標楷體" w:cs="Times New Roman" w:hint="eastAsia"/>
          <w:b/>
          <w:kern w:val="0"/>
          <w:sz w:val="28"/>
          <w:szCs w:val="28"/>
        </w:rPr>
        <w:t>（10</w:t>
      </w:r>
      <w:r w:rsidR="002D2343" w:rsidRPr="00A41434">
        <w:rPr>
          <w:rFonts w:ascii="標楷體" w:eastAsia="標楷體" w:hAnsi="標楷體" w:cs="Times New Roman" w:hint="eastAsia"/>
          <w:b/>
          <w:kern w:val="0"/>
          <w:sz w:val="28"/>
          <w:szCs w:val="28"/>
        </w:rPr>
        <w:t>4</w:t>
      </w:r>
      <w:r w:rsidR="00BC4476" w:rsidRPr="00A41434">
        <w:rPr>
          <w:rFonts w:ascii="標楷體" w:eastAsia="標楷體" w:hAnsi="標楷體" w:cs="Times New Roman" w:hint="eastAsia"/>
          <w:b/>
          <w:kern w:val="0"/>
          <w:sz w:val="28"/>
          <w:szCs w:val="28"/>
        </w:rPr>
        <w:t>年</w:t>
      </w:r>
      <w:r w:rsidR="003C6D47" w:rsidRPr="00A41434">
        <w:rPr>
          <w:rFonts w:ascii="標楷體" w:eastAsia="標楷體" w:hAnsi="標楷體" w:cs="Times New Roman" w:hint="eastAsia"/>
          <w:b/>
          <w:kern w:val="0"/>
          <w:sz w:val="28"/>
          <w:szCs w:val="28"/>
        </w:rPr>
        <w:t>下</w:t>
      </w:r>
      <w:r w:rsidR="002D2343" w:rsidRPr="00A41434">
        <w:rPr>
          <w:rFonts w:ascii="標楷體" w:eastAsia="標楷體" w:hAnsi="標楷體" w:cs="Times New Roman" w:hint="eastAsia"/>
          <w:b/>
          <w:kern w:val="0"/>
          <w:sz w:val="28"/>
          <w:szCs w:val="28"/>
        </w:rPr>
        <w:t>半年</w:t>
      </w:r>
      <w:r w:rsidR="00BC4476" w:rsidRPr="00A41434">
        <w:rPr>
          <w:rFonts w:ascii="標楷體" w:eastAsia="標楷體" w:hAnsi="標楷體" w:cs="Times New Roman" w:hint="eastAsia"/>
          <w:b/>
          <w:kern w:val="0"/>
          <w:sz w:val="28"/>
          <w:szCs w:val="28"/>
        </w:rPr>
        <w:t>）</w:t>
      </w:r>
    </w:p>
    <w:p w:rsidR="00BC4476" w:rsidRPr="00A41434" w:rsidRDefault="00BC4476" w:rsidP="00BC4476">
      <w:pPr>
        <w:spacing w:line="460" w:lineRule="exact"/>
        <w:ind w:left="1693" w:hanging="1693"/>
        <w:jc w:val="center"/>
        <w:rPr>
          <w:rFonts w:ascii="標楷體" w:eastAsia="標楷體" w:hAnsi="標楷體"/>
          <w:b/>
          <w:sz w:val="28"/>
          <w:szCs w:val="28"/>
        </w:rPr>
      </w:pPr>
      <w:r w:rsidRPr="00A41434">
        <w:rPr>
          <w:rFonts w:ascii="標楷體" w:eastAsia="標楷體" w:hAnsi="標楷體" w:cs="Times New Roman" w:hint="eastAsia"/>
          <w:b/>
          <w:kern w:val="0"/>
          <w:sz w:val="28"/>
          <w:szCs w:val="28"/>
        </w:rPr>
        <w:t>金融機構類別：農</w:t>
      </w:r>
      <w:r w:rsidRPr="00A41434">
        <w:rPr>
          <w:rFonts w:ascii="標楷體" w:eastAsia="標楷體" w:hAnsi="標楷體" w:hint="eastAsia"/>
          <w:b/>
          <w:sz w:val="28"/>
          <w:szCs w:val="28"/>
        </w:rPr>
        <w:t>會漁會信用部</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76D42" w:rsidRPr="0045186F" w:rsidTr="00476D42">
        <w:trPr>
          <w:trHeight w:val="2214"/>
        </w:trPr>
        <w:tc>
          <w:tcPr>
            <w:tcW w:w="8372" w:type="dxa"/>
          </w:tcPr>
          <w:p w:rsidR="004C340B" w:rsidRPr="0045186F" w:rsidRDefault="00BC4476" w:rsidP="004C340B">
            <w:pPr>
              <w:spacing w:line="460" w:lineRule="exact"/>
              <w:ind w:left="1693" w:hanging="1693"/>
              <w:jc w:val="both"/>
              <w:rPr>
                <w:rFonts w:ascii="標楷體" w:eastAsia="標楷體" w:hAnsi="標楷體"/>
                <w:b/>
                <w:sz w:val="28"/>
                <w:szCs w:val="28"/>
              </w:rPr>
            </w:pPr>
            <w:r w:rsidRPr="0045186F">
              <w:rPr>
                <w:rFonts w:ascii="標楷體" w:eastAsia="標楷體" w:hAnsi="標楷體" w:hint="eastAsia"/>
                <w:b/>
                <w:sz w:val="28"/>
                <w:szCs w:val="28"/>
              </w:rPr>
              <w:t>態樣</w:t>
            </w:r>
            <w:proofErr w:type="gramStart"/>
            <w:r w:rsidRPr="0045186F">
              <w:rPr>
                <w:rFonts w:ascii="標楷體" w:eastAsia="標楷體" w:hAnsi="標楷體" w:hint="eastAsia"/>
                <w:b/>
                <w:sz w:val="28"/>
                <w:szCs w:val="28"/>
              </w:rPr>
              <w:t>一</w:t>
            </w:r>
            <w:proofErr w:type="gramEnd"/>
            <w:r w:rsidRPr="0045186F">
              <w:rPr>
                <w:rFonts w:ascii="標楷體" w:eastAsia="標楷體" w:hAnsi="標楷體" w:hint="eastAsia"/>
                <w:b/>
                <w:sz w:val="28"/>
                <w:szCs w:val="28"/>
              </w:rPr>
              <w:t>：</w:t>
            </w:r>
            <w:r w:rsidR="004C340B" w:rsidRPr="0045186F">
              <w:rPr>
                <w:rFonts w:ascii="標楷體" w:eastAsia="標楷體" w:hAnsi="標楷體" w:hint="eastAsia"/>
                <w:b/>
                <w:sz w:val="28"/>
                <w:szCs w:val="28"/>
              </w:rPr>
              <w:t>應予評估資產申報錯誤及分類錯誤：</w:t>
            </w:r>
          </w:p>
          <w:p w:rsidR="00191882" w:rsidRPr="0045186F" w:rsidRDefault="00191882" w:rsidP="00191882">
            <w:pPr>
              <w:spacing w:line="460" w:lineRule="exact"/>
              <w:ind w:left="1410" w:hanging="276"/>
              <w:jc w:val="both"/>
              <w:rPr>
                <w:rFonts w:ascii="標楷體" w:eastAsia="標楷體" w:hAnsi="標楷體"/>
                <w:b/>
                <w:sz w:val="28"/>
                <w:szCs w:val="28"/>
              </w:rPr>
            </w:pPr>
            <w:r w:rsidRPr="0045186F">
              <w:rPr>
                <w:rFonts w:ascii="標楷體" w:eastAsia="標楷體" w:hAnsi="標楷體" w:hint="eastAsia"/>
                <w:b/>
                <w:sz w:val="28"/>
                <w:szCs w:val="28"/>
              </w:rPr>
              <w:t>1.</w:t>
            </w:r>
            <w:r w:rsidR="001B214A" w:rsidRPr="0045186F">
              <w:rPr>
                <w:rFonts w:ascii="標楷體" w:eastAsia="標楷體" w:hAnsi="標楷體" w:hint="eastAsia"/>
                <w:b/>
                <w:sz w:val="28"/>
                <w:szCs w:val="28"/>
              </w:rPr>
              <w:t>逾期</w:t>
            </w:r>
            <w:r w:rsidR="002A5B85" w:rsidRPr="0045186F">
              <w:rPr>
                <w:rFonts w:ascii="標楷體" w:eastAsia="標楷體" w:hAnsi="標楷體" w:hint="eastAsia"/>
                <w:b/>
                <w:sz w:val="28"/>
                <w:szCs w:val="28"/>
              </w:rPr>
              <w:t>催收</w:t>
            </w:r>
            <w:r w:rsidR="001B214A" w:rsidRPr="0045186F">
              <w:rPr>
                <w:rFonts w:ascii="標楷體" w:eastAsia="標楷體" w:hAnsi="標楷體" w:hint="eastAsia"/>
                <w:b/>
                <w:sz w:val="28"/>
                <w:szCs w:val="28"/>
              </w:rPr>
              <w:t>戶及</w:t>
            </w:r>
            <w:r w:rsidRPr="0045186F">
              <w:rPr>
                <w:rFonts w:ascii="標楷體" w:eastAsia="標楷體" w:hAnsi="標楷體" w:hint="eastAsia"/>
                <w:b/>
                <w:sz w:val="28"/>
                <w:szCs w:val="28"/>
              </w:rPr>
              <w:t>呆帳戶</w:t>
            </w:r>
            <w:r w:rsidR="001B214A" w:rsidRPr="0045186F">
              <w:rPr>
                <w:rFonts w:ascii="標楷體" w:eastAsia="標楷體" w:hAnsi="標楷體" w:hint="eastAsia"/>
                <w:b/>
                <w:sz w:val="28"/>
                <w:szCs w:val="28"/>
              </w:rPr>
              <w:t>之</w:t>
            </w:r>
            <w:r w:rsidRPr="0045186F">
              <w:rPr>
                <w:rFonts w:ascii="標楷體" w:eastAsia="標楷體" w:hAnsi="標楷體" w:hint="eastAsia"/>
                <w:b/>
                <w:sz w:val="28"/>
                <w:szCs w:val="28"/>
              </w:rPr>
              <w:t>訴訟相關費用，</w:t>
            </w:r>
            <w:r w:rsidR="002A5B85" w:rsidRPr="0045186F">
              <w:rPr>
                <w:rFonts w:ascii="標楷體" w:eastAsia="標楷體" w:hAnsi="標楷體" w:hint="eastAsia"/>
                <w:b/>
                <w:sz w:val="28"/>
                <w:szCs w:val="28"/>
              </w:rPr>
              <w:t>漏未列入評估或分類錯誤。</w:t>
            </w:r>
          </w:p>
          <w:p w:rsidR="00191882" w:rsidRPr="0045186F" w:rsidRDefault="002758F0" w:rsidP="00191882">
            <w:pPr>
              <w:spacing w:line="460" w:lineRule="exact"/>
              <w:ind w:left="1410" w:hanging="276"/>
              <w:jc w:val="both"/>
              <w:rPr>
                <w:rFonts w:ascii="標楷體" w:eastAsia="標楷體" w:hAnsi="標楷體"/>
                <w:b/>
                <w:sz w:val="28"/>
                <w:szCs w:val="28"/>
              </w:rPr>
            </w:pPr>
            <w:r w:rsidRPr="0045186F">
              <w:rPr>
                <w:rFonts w:ascii="標楷體" w:eastAsia="標楷體" w:hAnsi="標楷體" w:hint="eastAsia"/>
                <w:b/>
                <w:sz w:val="28"/>
                <w:szCs w:val="28"/>
              </w:rPr>
              <w:t>2</w:t>
            </w:r>
            <w:r w:rsidR="00191882" w:rsidRPr="0045186F">
              <w:rPr>
                <w:rFonts w:ascii="標楷體" w:eastAsia="標楷體" w:hAnsi="標楷體" w:hint="eastAsia"/>
                <w:b/>
                <w:sz w:val="28"/>
                <w:szCs w:val="28"/>
              </w:rPr>
              <w:t>.投資之有價證券，被投資公司淨值已貶落，未列入應予評估資產評估。</w:t>
            </w:r>
          </w:p>
          <w:p w:rsidR="00191882" w:rsidRPr="0045186F" w:rsidRDefault="002758F0" w:rsidP="00191882">
            <w:pPr>
              <w:spacing w:line="460" w:lineRule="exact"/>
              <w:ind w:left="1410" w:hanging="276"/>
              <w:jc w:val="both"/>
              <w:rPr>
                <w:rFonts w:ascii="標楷體" w:eastAsia="標楷體" w:hAnsi="標楷體"/>
                <w:b/>
                <w:sz w:val="28"/>
                <w:szCs w:val="28"/>
              </w:rPr>
            </w:pPr>
            <w:r w:rsidRPr="0045186F">
              <w:rPr>
                <w:rFonts w:ascii="標楷體" w:eastAsia="標楷體" w:hAnsi="標楷體" w:hint="eastAsia"/>
                <w:b/>
                <w:sz w:val="28"/>
                <w:szCs w:val="28"/>
              </w:rPr>
              <w:t>3</w:t>
            </w:r>
            <w:r w:rsidR="00191882" w:rsidRPr="0045186F">
              <w:rPr>
                <w:rFonts w:ascii="標楷體" w:eastAsia="標楷體" w:hAnsi="標楷體" w:hint="eastAsia"/>
                <w:b/>
                <w:sz w:val="28"/>
                <w:szCs w:val="28"/>
              </w:rPr>
              <w:t>.協議分期償還案件及其應收利息</w:t>
            </w:r>
            <w:r w:rsidR="002A5B85" w:rsidRPr="0045186F">
              <w:rPr>
                <w:rFonts w:ascii="標楷體" w:eastAsia="標楷體" w:hAnsi="標楷體" w:hint="eastAsia"/>
                <w:b/>
                <w:sz w:val="28"/>
                <w:szCs w:val="28"/>
              </w:rPr>
              <w:t>，評估分類錯誤。</w:t>
            </w:r>
          </w:p>
          <w:p w:rsidR="00387865" w:rsidRPr="0045186F" w:rsidRDefault="00FF178F" w:rsidP="00387865">
            <w:pPr>
              <w:spacing w:line="460" w:lineRule="exact"/>
              <w:ind w:left="1410" w:hanging="276"/>
              <w:jc w:val="both"/>
              <w:rPr>
                <w:rFonts w:ascii="標楷體" w:eastAsia="標楷體" w:hAnsi="標楷體"/>
                <w:b/>
                <w:sz w:val="28"/>
                <w:szCs w:val="28"/>
              </w:rPr>
            </w:pPr>
            <w:r w:rsidRPr="0045186F">
              <w:rPr>
                <w:rFonts w:ascii="標楷體" w:eastAsia="標楷體" w:hAnsi="標楷體" w:hint="eastAsia"/>
                <w:b/>
                <w:sz w:val="28"/>
                <w:szCs w:val="28"/>
              </w:rPr>
              <w:t>4</w:t>
            </w:r>
            <w:r w:rsidR="00387865" w:rsidRPr="0045186F">
              <w:rPr>
                <w:rFonts w:ascii="標楷體" w:eastAsia="標楷體" w:hAnsi="標楷體" w:hint="eastAsia"/>
                <w:b/>
                <w:sz w:val="28"/>
                <w:szCs w:val="28"/>
              </w:rPr>
              <w:t>.對還本</w:t>
            </w:r>
            <w:proofErr w:type="gramStart"/>
            <w:r w:rsidR="00387865" w:rsidRPr="0045186F">
              <w:rPr>
                <w:rFonts w:ascii="標楷體" w:eastAsia="標楷體" w:hAnsi="標楷體" w:hint="eastAsia"/>
                <w:b/>
                <w:sz w:val="28"/>
                <w:szCs w:val="28"/>
              </w:rPr>
              <w:t>繳息有欠</w:t>
            </w:r>
            <w:proofErr w:type="gramEnd"/>
            <w:r w:rsidR="00387865" w:rsidRPr="0045186F">
              <w:rPr>
                <w:rFonts w:ascii="標楷體" w:eastAsia="標楷體" w:hAnsi="標楷體" w:hint="eastAsia"/>
                <w:b/>
                <w:sz w:val="28"/>
                <w:szCs w:val="28"/>
              </w:rPr>
              <w:t>正常放款之應收利息，有漏未列入評估或分類錯誤。</w:t>
            </w:r>
          </w:p>
          <w:p w:rsidR="00387865" w:rsidRPr="0045186F" w:rsidRDefault="00FF178F" w:rsidP="00387865">
            <w:pPr>
              <w:spacing w:line="460" w:lineRule="exact"/>
              <w:ind w:left="1410" w:hanging="276"/>
              <w:jc w:val="both"/>
              <w:rPr>
                <w:rFonts w:ascii="標楷體" w:eastAsia="標楷體" w:hAnsi="標楷體"/>
                <w:b/>
                <w:sz w:val="28"/>
                <w:szCs w:val="28"/>
              </w:rPr>
            </w:pPr>
            <w:r w:rsidRPr="0045186F">
              <w:rPr>
                <w:rFonts w:ascii="標楷體" w:eastAsia="標楷體" w:hAnsi="標楷體" w:hint="eastAsia"/>
                <w:b/>
                <w:sz w:val="28"/>
                <w:szCs w:val="28"/>
              </w:rPr>
              <w:t>5</w:t>
            </w:r>
            <w:r w:rsidR="00387865" w:rsidRPr="0045186F">
              <w:rPr>
                <w:rFonts w:ascii="標楷體" w:eastAsia="標楷體" w:hAnsi="標楷體" w:hint="eastAsia"/>
                <w:b/>
                <w:sz w:val="28"/>
                <w:szCs w:val="28"/>
              </w:rPr>
              <w:t>.對墊付員工舞弊款之應收款項，有漏未列入評估或分類錯誤。</w:t>
            </w:r>
          </w:p>
          <w:p w:rsidR="00387865" w:rsidRPr="0045186F" w:rsidRDefault="00FF178F" w:rsidP="00387865">
            <w:pPr>
              <w:spacing w:line="460" w:lineRule="exact"/>
              <w:ind w:left="1410" w:hanging="276"/>
              <w:jc w:val="both"/>
              <w:rPr>
                <w:rFonts w:ascii="標楷體" w:eastAsia="標楷體" w:hAnsi="標楷體"/>
                <w:b/>
                <w:sz w:val="28"/>
                <w:szCs w:val="28"/>
              </w:rPr>
            </w:pPr>
            <w:r w:rsidRPr="0045186F">
              <w:rPr>
                <w:rFonts w:ascii="標楷體" w:eastAsia="標楷體" w:hAnsi="標楷體" w:hint="eastAsia"/>
                <w:b/>
                <w:sz w:val="28"/>
                <w:szCs w:val="28"/>
              </w:rPr>
              <w:t>6</w:t>
            </w:r>
            <w:r w:rsidR="00387865" w:rsidRPr="0045186F">
              <w:rPr>
                <w:rFonts w:ascii="標楷體" w:eastAsia="標楷體" w:hAnsi="標楷體" w:hint="eastAsia"/>
                <w:b/>
                <w:sz w:val="28"/>
                <w:szCs w:val="28"/>
              </w:rPr>
              <w:t>.對合作金庫等次順位債券退稅款、監理站補助款及跨行手續費等應收款項，有多列入評估或分類錯誤。</w:t>
            </w:r>
          </w:p>
          <w:p w:rsidR="00387865" w:rsidRPr="0045186F" w:rsidRDefault="00FF178F" w:rsidP="00387865">
            <w:pPr>
              <w:spacing w:line="460" w:lineRule="exact"/>
              <w:ind w:left="1410" w:hanging="276"/>
              <w:jc w:val="both"/>
              <w:rPr>
                <w:rFonts w:ascii="標楷體" w:eastAsia="標楷體" w:hAnsi="標楷體"/>
                <w:b/>
                <w:sz w:val="28"/>
                <w:szCs w:val="28"/>
              </w:rPr>
            </w:pPr>
            <w:r w:rsidRPr="0045186F">
              <w:rPr>
                <w:rFonts w:ascii="標楷體" w:eastAsia="標楷體" w:hAnsi="標楷體" w:hint="eastAsia"/>
                <w:b/>
                <w:sz w:val="28"/>
                <w:szCs w:val="28"/>
              </w:rPr>
              <w:t>7</w:t>
            </w:r>
            <w:r w:rsidR="00387865" w:rsidRPr="0045186F">
              <w:rPr>
                <w:rFonts w:ascii="標楷體" w:eastAsia="標楷體" w:hAnsi="標楷體" w:hint="eastAsia"/>
                <w:b/>
                <w:sz w:val="28"/>
                <w:szCs w:val="28"/>
              </w:rPr>
              <w:t>.承受擔保品評估分類錯誤。</w:t>
            </w:r>
          </w:p>
          <w:p w:rsidR="00387865" w:rsidRPr="0045186F" w:rsidRDefault="00FF178F" w:rsidP="00387865">
            <w:pPr>
              <w:spacing w:line="460" w:lineRule="exact"/>
              <w:ind w:left="1410" w:hanging="276"/>
              <w:jc w:val="both"/>
              <w:rPr>
                <w:rFonts w:ascii="標楷體" w:eastAsia="標楷體" w:hAnsi="標楷體"/>
                <w:b/>
                <w:sz w:val="28"/>
                <w:szCs w:val="28"/>
              </w:rPr>
            </w:pPr>
            <w:r w:rsidRPr="0045186F">
              <w:rPr>
                <w:rFonts w:ascii="標楷體" w:eastAsia="標楷體" w:hAnsi="標楷體" w:hint="eastAsia"/>
                <w:b/>
                <w:sz w:val="28"/>
                <w:szCs w:val="28"/>
              </w:rPr>
              <w:t>8</w:t>
            </w:r>
            <w:r w:rsidR="00387865" w:rsidRPr="0045186F">
              <w:rPr>
                <w:rFonts w:ascii="標楷體" w:eastAsia="標楷體" w:hAnsi="標楷體" w:hint="eastAsia"/>
                <w:b/>
                <w:sz w:val="28"/>
                <w:szCs w:val="28"/>
              </w:rPr>
              <w:t>.投資有價證券，市價已低於帳列成本者，未列入應予評估資產評估或短列跌價損失。</w:t>
            </w:r>
          </w:p>
          <w:p w:rsidR="00B341B9" w:rsidRPr="0045186F" w:rsidRDefault="00B341B9" w:rsidP="0014405D">
            <w:pPr>
              <w:spacing w:line="460" w:lineRule="exact"/>
              <w:ind w:left="1410" w:hanging="276"/>
              <w:jc w:val="both"/>
              <w:rPr>
                <w:rFonts w:ascii="標楷體" w:eastAsia="標楷體" w:hAnsi="標楷體"/>
                <w:b/>
                <w:sz w:val="28"/>
                <w:szCs w:val="28"/>
              </w:rPr>
            </w:pPr>
          </w:p>
        </w:tc>
      </w:tr>
    </w:tbl>
    <w:p w:rsidR="004E67EB" w:rsidRPr="00A41434" w:rsidRDefault="004E67EB" w:rsidP="00ED6091">
      <w:pPr>
        <w:spacing w:line="460" w:lineRule="exact"/>
        <w:ind w:leftChars="200" w:left="1756" w:hanging="1276"/>
        <w:rPr>
          <w:rFonts w:ascii="標楷體" w:eastAsia="標楷體" w:hAnsi="標楷體" w:cs="Times New Roman"/>
          <w:b/>
          <w:spacing w:val="-14"/>
          <w:sz w:val="28"/>
          <w:szCs w:val="28"/>
        </w:rPr>
      </w:pPr>
      <w:r w:rsidRPr="00A41434">
        <w:rPr>
          <w:rFonts w:ascii="標楷體" w:eastAsia="標楷體" w:hAnsi="標楷體" w:cs="Times New Roman" w:hint="eastAsia"/>
          <w:b/>
          <w:spacing w:val="-14"/>
          <w:sz w:val="28"/>
          <w:szCs w:val="28"/>
        </w:rPr>
        <w:t>改善作法：</w:t>
      </w:r>
    </w:p>
    <w:p w:rsidR="004C340B" w:rsidRPr="00A41434" w:rsidRDefault="004C340B" w:rsidP="00ED6091">
      <w:pPr>
        <w:spacing w:line="460" w:lineRule="exact"/>
        <w:ind w:leftChars="200" w:left="1756" w:hanging="1276"/>
        <w:jc w:val="both"/>
        <w:rPr>
          <w:rFonts w:ascii="標楷體" w:eastAsia="標楷體" w:hAnsi="標楷體" w:cs="Times New Roman"/>
          <w:spacing w:val="-14"/>
          <w:sz w:val="28"/>
          <w:szCs w:val="28"/>
        </w:rPr>
      </w:pPr>
      <w:r w:rsidRPr="00A41434">
        <w:rPr>
          <w:rFonts w:ascii="標楷體" w:eastAsia="標楷體" w:hAnsi="標楷體" w:cs="Times New Roman" w:hint="eastAsia"/>
          <w:spacing w:val="-14"/>
          <w:sz w:val="28"/>
          <w:szCs w:val="28"/>
        </w:rPr>
        <w:t>1.參考法規：</w:t>
      </w:r>
    </w:p>
    <w:p w:rsidR="004C340B" w:rsidRPr="00A41434" w:rsidRDefault="004C340B" w:rsidP="00933F8B">
      <w:pPr>
        <w:spacing w:line="460" w:lineRule="exact"/>
        <w:ind w:leftChars="199" w:left="1034" w:hanging="556"/>
        <w:jc w:val="both"/>
        <w:rPr>
          <w:rFonts w:ascii="標楷體" w:eastAsia="標楷體" w:hAnsi="標楷體" w:cs="Times New Roman"/>
          <w:spacing w:val="-14"/>
          <w:sz w:val="28"/>
          <w:szCs w:val="28"/>
        </w:rPr>
      </w:pPr>
      <w:r w:rsidRPr="00A41434">
        <w:rPr>
          <w:rFonts w:ascii="標楷體" w:eastAsia="標楷體" w:hAnsi="標楷體" w:cs="Times New Roman"/>
          <w:spacing w:val="-14"/>
          <w:sz w:val="28"/>
          <w:szCs w:val="28"/>
        </w:rPr>
        <w:t>（</w:t>
      </w:r>
      <w:r w:rsidRPr="00A41434">
        <w:rPr>
          <w:rFonts w:ascii="標楷體" w:eastAsia="標楷體" w:hAnsi="標楷體" w:cs="Times New Roman" w:hint="eastAsia"/>
          <w:spacing w:val="-14"/>
          <w:sz w:val="28"/>
          <w:szCs w:val="28"/>
        </w:rPr>
        <w:t>1</w:t>
      </w:r>
      <w:r w:rsidRPr="00A41434">
        <w:rPr>
          <w:rFonts w:ascii="標楷體" w:eastAsia="標楷體" w:hAnsi="標楷體" w:cs="Times New Roman"/>
          <w:spacing w:val="-14"/>
          <w:sz w:val="28"/>
          <w:szCs w:val="28"/>
        </w:rPr>
        <w:t>）農會漁會信用部資產評估損失準備提列及逾期放款催收款呆帳處理辦法。</w:t>
      </w:r>
    </w:p>
    <w:p w:rsidR="004C340B" w:rsidRPr="00A41434" w:rsidRDefault="004C340B" w:rsidP="00ED6091">
      <w:pPr>
        <w:spacing w:line="460" w:lineRule="exact"/>
        <w:ind w:leftChars="200" w:left="1189" w:hanging="709"/>
        <w:jc w:val="both"/>
        <w:rPr>
          <w:rFonts w:ascii="標楷體" w:eastAsia="標楷體" w:hAnsi="標楷體" w:cs="Times New Roman"/>
          <w:spacing w:val="-14"/>
          <w:sz w:val="28"/>
          <w:szCs w:val="28"/>
        </w:rPr>
      </w:pPr>
      <w:r w:rsidRPr="00A41434">
        <w:rPr>
          <w:rFonts w:ascii="標楷體" w:eastAsia="標楷體" w:hAnsi="標楷體" w:cs="Times New Roman" w:hint="eastAsia"/>
          <w:spacing w:val="-14"/>
          <w:sz w:val="28"/>
          <w:szCs w:val="28"/>
        </w:rPr>
        <w:t>（2）農會財務處理辦法第92條：「資產之評價依下列規定核計：二、有價證券、長期投資、存貨、承受擔保品及其他資產以成本為基準，成本高於時價時以時價為基準」。</w:t>
      </w:r>
    </w:p>
    <w:p w:rsidR="004C340B" w:rsidRPr="00A41434" w:rsidRDefault="004C340B" w:rsidP="00ED6091">
      <w:pPr>
        <w:spacing w:line="460" w:lineRule="exact"/>
        <w:ind w:leftChars="200" w:left="1756" w:hanging="1276"/>
        <w:jc w:val="both"/>
        <w:rPr>
          <w:rFonts w:ascii="標楷體" w:eastAsia="標楷體" w:hAnsi="標楷體" w:cs="Times New Roman"/>
          <w:spacing w:val="-14"/>
          <w:sz w:val="28"/>
          <w:szCs w:val="28"/>
        </w:rPr>
      </w:pPr>
      <w:r w:rsidRPr="00A41434">
        <w:rPr>
          <w:rFonts w:ascii="標楷體" w:eastAsia="標楷體" w:hAnsi="標楷體" w:cs="Times New Roman" w:hint="eastAsia"/>
          <w:spacing w:val="-14"/>
          <w:sz w:val="28"/>
          <w:szCs w:val="28"/>
        </w:rPr>
        <w:t>2.依規定填報並落實複核機制。</w:t>
      </w:r>
    </w:p>
    <w:p w:rsidR="004C340B" w:rsidRPr="00A41434" w:rsidRDefault="004C340B" w:rsidP="00ED6091">
      <w:pPr>
        <w:spacing w:line="460" w:lineRule="exact"/>
        <w:ind w:leftChars="200" w:left="1756" w:hanging="1276"/>
        <w:jc w:val="both"/>
        <w:rPr>
          <w:rFonts w:ascii="標楷體" w:eastAsia="標楷體" w:hAnsi="標楷體" w:cs="Times New Roman"/>
          <w:spacing w:val="-14"/>
          <w:sz w:val="28"/>
          <w:szCs w:val="28"/>
        </w:rPr>
      </w:pPr>
      <w:r w:rsidRPr="00A41434">
        <w:rPr>
          <w:rFonts w:ascii="標楷體" w:eastAsia="標楷體" w:hAnsi="標楷體" w:cs="Times New Roman" w:hint="eastAsia"/>
          <w:spacing w:val="-14"/>
          <w:sz w:val="28"/>
          <w:szCs w:val="28"/>
        </w:rPr>
        <w:t>3.內部稽核將申報資料正確性列為查核重點。</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31CC5" w:rsidRPr="00FF178F" w:rsidTr="001B214A">
        <w:trPr>
          <w:trHeight w:val="2214"/>
        </w:trPr>
        <w:tc>
          <w:tcPr>
            <w:tcW w:w="8372" w:type="dxa"/>
          </w:tcPr>
          <w:p w:rsidR="004C340B" w:rsidRPr="00FF178F" w:rsidRDefault="00BC4476" w:rsidP="004C340B">
            <w:pPr>
              <w:spacing w:line="460" w:lineRule="exact"/>
              <w:ind w:left="1693" w:hanging="1693"/>
              <w:jc w:val="both"/>
              <w:rPr>
                <w:rFonts w:ascii="標楷體" w:eastAsia="標楷體" w:hAnsi="標楷體"/>
                <w:b/>
                <w:sz w:val="28"/>
                <w:szCs w:val="28"/>
              </w:rPr>
            </w:pPr>
            <w:r w:rsidRPr="00FF178F">
              <w:rPr>
                <w:rFonts w:ascii="標楷體" w:eastAsia="標楷體" w:hAnsi="標楷體" w:hint="eastAsia"/>
                <w:b/>
                <w:sz w:val="28"/>
                <w:szCs w:val="28"/>
              </w:rPr>
              <w:lastRenderedPageBreak/>
              <w:t>態樣二：</w:t>
            </w:r>
            <w:r w:rsidR="004C340B" w:rsidRPr="00FF178F">
              <w:rPr>
                <w:rFonts w:ascii="標楷體" w:eastAsia="標楷體" w:hAnsi="標楷體" w:hint="eastAsia"/>
                <w:b/>
                <w:sz w:val="28"/>
                <w:szCs w:val="28"/>
              </w:rPr>
              <w:t>資本適足率</w:t>
            </w:r>
            <w:r w:rsidR="00FC0492" w:rsidRPr="00FF178F">
              <w:rPr>
                <w:rFonts w:ascii="標楷體" w:eastAsia="標楷體" w:hAnsi="標楷體" w:hint="eastAsia"/>
                <w:b/>
                <w:sz w:val="28"/>
                <w:szCs w:val="28"/>
              </w:rPr>
              <w:t>申報有</w:t>
            </w:r>
            <w:r w:rsidR="004C340B" w:rsidRPr="00FF178F">
              <w:rPr>
                <w:rFonts w:ascii="標楷體" w:eastAsia="標楷體" w:hAnsi="標楷體" w:hint="eastAsia"/>
                <w:b/>
                <w:sz w:val="28"/>
                <w:szCs w:val="28"/>
              </w:rPr>
              <w:t>誤</w:t>
            </w:r>
            <w:r w:rsidR="00FC0492" w:rsidRPr="00FF178F">
              <w:rPr>
                <w:rFonts w:ascii="標楷體" w:eastAsia="標楷體" w:hAnsi="標楷體" w:hint="eastAsia"/>
                <w:b/>
                <w:sz w:val="28"/>
                <w:szCs w:val="28"/>
              </w:rPr>
              <w:t>差</w:t>
            </w:r>
            <w:r w:rsidR="004C340B" w:rsidRPr="00FF178F">
              <w:rPr>
                <w:rFonts w:ascii="標楷體" w:eastAsia="標楷體" w:hAnsi="標楷體" w:hint="eastAsia"/>
                <w:b/>
                <w:sz w:val="28"/>
                <w:szCs w:val="28"/>
              </w:rPr>
              <w:t>：</w:t>
            </w:r>
          </w:p>
          <w:p w:rsidR="00191882" w:rsidRPr="00FF178F" w:rsidRDefault="002758F0" w:rsidP="00191882">
            <w:pPr>
              <w:spacing w:line="460" w:lineRule="exact"/>
              <w:ind w:left="1410" w:hanging="276"/>
              <w:jc w:val="both"/>
              <w:rPr>
                <w:rFonts w:ascii="標楷體" w:eastAsia="標楷體" w:hAnsi="標楷體"/>
                <w:b/>
                <w:sz w:val="28"/>
                <w:szCs w:val="28"/>
              </w:rPr>
            </w:pPr>
            <w:r w:rsidRPr="00FF178F">
              <w:rPr>
                <w:rFonts w:ascii="標楷體" w:eastAsia="標楷體" w:hAnsi="標楷體" w:hint="eastAsia"/>
                <w:b/>
                <w:sz w:val="28"/>
                <w:szCs w:val="28"/>
              </w:rPr>
              <w:t>1</w:t>
            </w:r>
            <w:r w:rsidR="00191882" w:rsidRPr="00FF178F">
              <w:rPr>
                <w:rFonts w:ascii="標楷體" w:eastAsia="標楷體" w:hAnsi="標楷體" w:hint="eastAsia"/>
                <w:b/>
                <w:sz w:val="28"/>
                <w:szCs w:val="28"/>
              </w:rPr>
              <w:t>.對擔保品屬性不符規定（</w:t>
            </w:r>
            <w:r w:rsidR="00726C64" w:rsidRPr="00FF178F">
              <w:rPr>
                <w:rFonts w:ascii="標楷體" w:eastAsia="標楷體" w:hAnsi="標楷體" w:hint="eastAsia"/>
                <w:b/>
                <w:sz w:val="28"/>
                <w:szCs w:val="28"/>
              </w:rPr>
              <w:t>營業處所或建設公司餘屋</w:t>
            </w:r>
            <w:r w:rsidR="00191882" w:rsidRPr="00FF178F">
              <w:rPr>
                <w:rFonts w:ascii="標楷體" w:eastAsia="標楷體" w:hAnsi="標楷體" w:hint="eastAsia"/>
                <w:b/>
                <w:sz w:val="28"/>
                <w:szCs w:val="28"/>
              </w:rPr>
              <w:t>）</w:t>
            </w:r>
            <w:r w:rsidR="00E165AF" w:rsidRPr="00FF178F">
              <w:rPr>
                <w:rFonts w:ascii="標楷體" w:eastAsia="標楷體" w:hAnsi="標楷體" w:hint="eastAsia"/>
                <w:b/>
                <w:sz w:val="28"/>
                <w:szCs w:val="28"/>
              </w:rPr>
              <w:t>等</w:t>
            </w:r>
            <w:r w:rsidR="00191882" w:rsidRPr="00FF178F">
              <w:rPr>
                <w:rFonts w:ascii="標楷體" w:eastAsia="標楷體" w:hAnsi="標楷體" w:hint="eastAsia"/>
                <w:b/>
                <w:sz w:val="28"/>
                <w:szCs w:val="28"/>
              </w:rPr>
              <w:t>非屬住宅用不動產擔保放款（含應收利息，風險權數100%），誤列為住宅用不動產擔保放款（風險權數50%）。</w:t>
            </w:r>
          </w:p>
          <w:p w:rsidR="00191882" w:rsidRPr="00FF178F" w:rsidRDefault="002758F0" w:rsidP="00191882">
            <w:pPr>
              <w:spacing w:line="460" w:lineRule="exact"/>
              <w:ind w:left="1410" w:hanging="276"/>
              <w:jc w:val="both"/>
              <w:rPr>
                <w:rFonts w:ascii="標楷體" w:eastAsia="標楷體" w:hAnsi="標楷體"/>
                <w:b/>
                <w:sz w:val="28"/>
                <w:szCs w:val="28"/>
              </w:rPr>
            </w:pPr>
            <w:r w:rsidRPr="00FF178F">
              <w:rPr>
                <w:rFonts w:ascii="標楷體" w:eastAsia="標楷體" w:hAnsi="標楷體" w:hint="eastAsia"/>
                <w:b/>
                <w:sz w:val="28"/>
                <w:szCs w:val="28"/>
              </w:rPr>
              <w:t>2</w:t>
            </w:r>
            <w:r w:rsidR="00191882" w:rsidRPr="00FF178F">
              <w:rPr>
                <w:rFonts w:ascii="標楷體" w:eastAsia="標楷體" w:hAnsi="標楷體" w:hint="eastAsia"/>
                <w:b/>
                <w:sz w:val="28"/>
                <w:szCs w:val="28"/>
              </w:rPr>
              <w:t>.可能遭受損失未列入特定損失，並自合格淨值及風險性資產總額扣除。</w:t>
            </w:r>
          </w:p>
          <w:p w:rsidR="00191882" w:rsidRPr="00FF178F" w:rsidRDefault="00EE6A92" w:rsidP="008275F7">
            <w:pPr>
              <w:spacing w:line="460" w:lineRule="exact"/>
              <w:ind w:left="1410" w:hanging="276"/>
              <w:jc w:val="both"/>
              <w:rPr>
                <w:rFonts w:ascii="標楷體" w:eastAsia="標楷體" w:hAnsi="標楷體"/>
                <w:b/>
                <w:sz w:val="28"/>
                <w:szCs w:val="28"/>
              </w:rPr>
            </w:pPr>
            <w:r w:rsidRPr="00FF178F">
              <w:rPr>
                <w:rFonts w:ascii="標楷體" w:eastAsia="標楷體" w:hAnsi="標楷體" w:hint="eastAsia"/>
                <w:b/>
                <w:sz w:val="28"/>
                <w:szCs w:val="28"/>
              </w:rPr>
              <w:t>3.</w:t>
            </w:r>
            <w:r w:rsidR="00E04711" w:rsidRPr="00FF178F">
              <w:rPr>
                <w:rFonts w:ascii="標楷體" w:eastAsia="標楷體" w:hAnsi="標楷體" w:hint="eastAsia"/>
                <w:b/>
                <w:sz w:val="28"/>
                <w:szCs w:val="28"/>
              </w:rPr>
              <w:t>農業信用保證基金放款，應列為對本國銀行及其保證之債權(風險權數20%)，誤列為一般債權(風險權數100%)。</w:t>
            </w:r>
          </w:p>
          <w:p w:rsidR="00726C64" w:rsidRPr="00FF178F" w:rsidRDefault="00EE6A92" w:rsidP="00726C64">
            <w:pPr>
              <w:spacing w:line="460" w:lineRule="exact"/>
              <w:ind w:left="1410" w:hanging="276"/>
              <w:jc w:val="both"/>
              <w:rPr>
                <w:rFonts w:ascii="標楷體" w:eastAsia="標楷體" w:hAnsi="標楷體"/>
                <w:b/>
                <w:sz w:val="28"/>
                <w:szCs w:val="28"/>
              </w:rPr>
            </w:pPr>
            <w:r w:rsidRPr="00FF178F">
              <w:rPr>
                <w:rFonts w:ascii="標楷體" w:eastAsia="標楷體" w:hAnsi="標楷體" w:hint="eastAsia"/>
                <w:b/>
                <w:sz w:val="28"/>
                <w:szCs w:val="28"/>
              </w:rPr>
              <w:t>4</w:t>
            </w:r>
            <w:r w:rsidR="00726C64" w:rsidRPr="00FF178F">
              <w:rPr>
                <w:rFonts w:ascii="標楷體" w:eastAsia="標楷體" w:hAnsi="標楷體" w:hint="eastAsia"/>
                <w:b/>
                <w:sz w:val="28"/>
                <w:szCs w:val="28"/>
              </w:rPr>
              <w:t>.對移送農業信用保證基金保證之放款(含應收利息)，全額以風險權數20%計算，未將不受保證之成數改以一般放款之風險權數100%計算。</w:t>
            </w:r>
          </w:p>
          <w:p w:rsidR="00B341B9" w:rsidRPr="00FF178F" w:rsidRDefault="00EE6A92" w:rsidP="00B341B9">
            <w:pPr>
              <w:spacing w:line="460" w:lineRule="exact"/>
              <w:ind w:left="1410" w:hanging="276"/>
              <w:jc w:val="both"/>
              <w:rPr>
                <w:rFonts w:ascii="標楷體" w:eastAsia="標楷體" w:hAnsi="標楷體"/>
                <w:b/>
                <w:sz w:val="28"/>
                <w:szCs w:val="28"/>
              </w:rPr>
            </w:pPr>
            <w:r w:rsidRPr="00FF178F">
              <w:rPr>
                <w:rFonts w:ascii="標楷體" w:eastAsia="標楷體" w:hAnsi="標楷體" w:hint="eastAsia"/>
                <w:b/>
                <w:sz w:val="28"/>
                <w:szCs w:val="28"/>
              </w:rPr>
              <w:t>5</w:t>
            </w:r>
            <w:r w:rsidR="00B341B9" w:rsidRPr="00FF178F">
              <w:rPr>
                <w:rFonts w:ascii="標楷體" w:eastAsia="標楷體" w:hAnsi="標楷體" w:hint="eastAsia"/>
                <w:b/>
                <w:sz w:val="28"/>
                <w:szCs w:val="28"/>
              </w:rPr>
              <w:t>.誤將針對第一類授信資產餘額提列1%之最低標準備抵呆帳列入特定損失範圍</w:t>
            </w:r>
            <w:r w:rsidR="00B341B9" w:rsidRPr="00FF178F">
              <w:rPr>
                <w:rFonts w:ascii="標楷體" w:eastAsia="標楷體" w:hAnsi="標楷體"/>
                <w:b/>
                <w:sz w:val="28"/>
                <w:szCs w:val="28"/>
              </w:rPr>
              <w:t xml:space="preserve"> 。</w:t>
            </w:r>
          </w:p>
          <w:p w:rsidR="00387865" w:rsidRPr="00FF178F" w:rsidRDefault="00EE6A92" w:rsidP="00387865">
            <w:pPr>
              <w:spacing w:line="460" w:lineRule="exact"/>
              <w:ind w:left="1410" w:hanging="276"/>
              <w:jc w:val="both"/>
              <w:rPr>
                <w:rFonts w:ascii="標楷體" w:eastAsia="標楷體" w:hAnsi="標楷體"/>
                <w:b/>
                <w:sz w:val="28"/>
                <w:szCs w:val="28"/>
              </w:rPr>
            </w:pPr>
            <w:r w:rsidRPr="00FF178F">
              <w:rPr>
                <w:rFonts w:ascii="標楷體" w:eastAsia="標楷體" w:hAnsi="標楷體" w:hint="eastAsia"/>
                <w:b/>
                <w:sz w:val="28"/>
                <w:szCs w:val="28"/>
              </w:rPr>
              <w:t>6</w:t>
            </w:r>
            <w:r w:rsidR="00387865" w:rsidRPr="00FF178F">
              <w:rPr>
                <w:rFonts w:ascii="標楷體" w:eastAsia="標楷體" w:hAnsi="標楷體" w:hint="eastAsia"/>
                <w:b/>
                <w:sz w:val="28"/>
                <w:szCs w:val="28"/>
              </w:rPr>
              <w:t>.對鎮公所之放款，風險權數誤列為100%(應為10%)。</w:t>
            </w:r>
          </w:p>
          <w:p w:rsidR="00387865" w:rsidRPr="00FF178F" w:rsidRDefault="00EE6A92" w:rsidP="00387865">
            <w:pPr>
              <w:spacing w:line="460" w:lineRule="exact"/>
              <w:ind w:left="1410" w:hanging="276"/>
              <w:jc w:val="both"/>
              <w:rPr>
                <w:rFonts w:ascii="標楷體" w:eastAsia="標楷體" w:hAnsi="標楷體"/>
                <w:b/>
                <w:sz w:val="28"/>
                <w:szCs w:val="28"/>
              </w:rPr>
            </w:pPr>
            <w:r w:rsidRPr="00FF178F">
              <w:rPr>
                <w:rFonts w:ascii="標楷體" w:eastAsia="標楷體" w:hAnsi="標楷體" w:hint="eastAsia"/>
                <w:b/>
                <w:sz w:val="28"/>
                <w:szCs w:val="28"/>
              </w:rPr>
              <w:t>7</w:t>
            </w:r>
            <w:r w:rsidR="00387865" w:rsidRPr="00FF178F">
              <w:rPr>
                <w:rFonts w:ascii="標楷體" w:eastAsia="標楷體" w:hAnsi="標楷體" w:hint="eastAsia"/>
                <w:b/>
                <w:sz w:val="28"/>
                <w:szCs w:val="28"/>
              </w:rPr>
              <w:t>.對短期墊款及存放行庫之員工退休金存款，風險權數為100％、20％，誤列為10%、0%。</w:t>
            </w:r>
          </w:p>
          <w:p w:rsidR="0014405D" w:rsidRPr="00FF178F" w:rsidRDefault="00EE6A92" w:rsidP="0014405D">
            <w:pPr>
              <w:spacing w:line="460" w:lineRule="exact"/>
              <w:ind w:left="1410" w:hanging="276"/>
              <w:jc w:val="both"/>
              <w:rPr>
                <w:rFonts w:ascii="標楷體" w:eastAsia="標楷體" w:hAnsi="標楷體"/>
                <w:b/>
                <w:sz w:val="28"/>
                <w:szCs w:val="28"/>
              </w:rPr>
            </w:pPr>
            <w:r w:rsidRPr="00FF178F">
              <w:rPr>
                <w:rFonts w:ascii="標楷體" w:eastAsia="標楷體" w:hAnsi="標楷體" w:hint="eastAsia"/>
                <w:b/>
                <w:sz w:val="28"/>
                <w:szCs w:val="28"/>
              </w:rPr>
              <w:t>8</w:t>
            </w:r>
            <w:r w:rsidR="0014405D" w:rsidRPr="00FF178F">
              <w:rPr>
                <w:rFonts w:ascii="標楷體" w:eastAsia="標楷體" w:hAnsi="標楷體" w:hint="eastAsia"/>
                <w:b/>
                <w:sz w:val="28"/>
                <w:szCs w:val="28"/>
              </w:rPr>
              <w:t>.</w:t>
            </w:r>
            <w:proofErr w:type="gramStart"/>
            <w:r w:rsidR="0014405D" w:rsidRPr="00FF178F">
              <w:rPr>
                <w:rFonts w:ascii="標楷體" w:eastAsia="標楷體" w:hint="eastAsia"/>
                <w:b/>
                <w:sz w:val="28"/>
                <w:szCs w:val="28"/>
              </w:rPr>
              <w:t>存出保證</w:t>
            </w:r>
            <w:proofErr w:type="gramEnd"/>
            <w:r w:rsidR="0014405D" w:rsidRPr="00FF178F">
              <w:rPr>
                <w:rFonts w:ascii="標楷體" w:eastAsia="標楷體" w:hint="eastAsia"/>
                <w:b/>
                <w:sz w:val="28"/>
                <w:szCs w:val="28"/>
              </w:rPr>
              <w:t>金屬保</w:t>
            </w:r>
            <w:r w:rsidR="00FF178F" w:rsidRPr="00FF178F">
              <w:rPr>
                <w:rFonts w:ascii="標楷體" w:eastAsia="標楷體" w:hint="eastAsia"/>
                <w:b/>
                <w:sz w:val="28"/>
                <w:szCs w:val="28"/>
              </w:rPr>
              <w:t>證</w:t>
            </w:r>
            <w:r w:rsidR="0014405D" w:rsidRPr="00FF178F">
              <w:rPr>
                <w:rFonts w:ascii="標楷體" w:eastAsia="標楷體" w:hint="eastAsia"/>
                <w:b/>
                <w:sz w:val="28"/>
                <w:szCs w:val="28"/>
              </w:rPr>
              <w:t>證券部分，誤</w:t>
            </w:r>
            <w:proofErr w:type="gramStart"/>
            <w:r w:rsidR="0014405D" w:rsidRPr="00FF178F">
              <w:rPr>
                <w:rFonts w:ascii="標楷體" w:eastAsia="標楷體" w:hint="eastAsia"/>
                <w:b/>
                <w:sz w:val="28"/>
                <w:szCs w:val="28"/>
              </w:rPr>
              <w:t>列入存出保證金</w:t>
            </w:r>
            <w:proofErr w:type="gramEnd"/>
            <w:r w:rsidR="0014405D" w:rsidRPr="00FF178F">
              <w:rPr>
                <w:rFonts w:ascii="標楷體" w:eastAsia="標楷體" w:hint="eastAsia"/>
                <w:b/>
                <w:sz w:val="28"/>
                <w:szCs w:val="28"/>
              </w:rPr>
              <w:t>-公庫</w:t>
            </w:r>
            <w:r w:rsidR="0014405D" w:rsidRPr="00FF178F">
              <w:rPr>
                <w:rFonts w:ascii="標楷體" w:eastAsia="標楷體" w:hint="eastAsia"/>
                <w:b/>
                <w:sz w:val="28"/>
              </w:rPr>
              <w:t>（風險權數10%）。</w:t>
            </w:r>
          </w:p>
          <w:p w:rsidR="00B341B9" w:rsidRPr="00FF178F" w:rsidRDefault="00EE6A92" w:rsidP="0014405D">
            <w:pPr>
              <w:spacing w:line="460" w:lineRule="exact"/>
              <w:ind w:left="1410" w:hanging="276"/>
              <w:jc w:val="both"/>
              <w:rPr>
                <w:rFonts w:ascii="標楷體" w:eastAsia="標楷體" w:hAnsi="標楷體"/>
                <w:b/>
                <w:sz w:val="28"/>
                <w:szCs w:val="28"/>
              </w:rPr>
            </w:pPr>
            <w:r w:rsidRPr="00FF178F">
              <w:rPr>
                <w:rFonts w:ascii="標楷體" w:eastAsia="標楷體" w:hAnsi="標楷體" w:hint="eastAsia"/>
                <w:b/>
                <w:sz w:val="28"/>
                <w:szCs w:val="28"/>
              </w:rPr>
              <w:t>9</w:t>
            </w:r>
            <w:r w:rsidR="0014405D" w:rsidRPr="00FF178F">
              <w:rPr>
                <w:rFonts w:ascii="標楷體" w:eastAsia="標楷體" w:hAnsi="標楷體" w:hint="eastAsia"/>
                <w:b/>
                <w:sz w:val="28"/>
                <w:szCs w:val="28"/>
              </w:rPr>
              <w:t>.投資有公開市場報價之有價證券，對於跌價損失部分，未列入風險性資產扣除。</w:t>
            </w:r>
          </w:p>
          <w:p w:rsidR="00B341B9" w:rsidRPr="00FF178F" w:rsidRDefault="00B341B9" w:rsidP="008275F7">
            <w:pPr>
              <w:spacing w:line="460" w:lineRule="exact"/>
              <w:ind w:left="1410" w:hanging="276"/>
              <w:jc w:val="both"/>
              <w:rPr>
                <w:rFonts w:ascii="標楷體" w:eastAsia="標楷體" w:hAnsi="標楷體"/>
                <w:b/>
                <w:sz w:val="28"/>
                <w:szCs w:val="28"/>
              </w:rPr>
            </w:pPr>
          </w:p>
        </w:tc>
      </w:tr>
    </w:tbl>
    <w:p w:rsidR="00431CC5" w:rsidRPr="00A41434" w:rsidRDefault="00431CC5" w:rsidP="00ED6091">
      <w:pPr>
        <w:spacing w:line="460" w:lineRule="exact"/>
        <w:ind w:leftChars="200" w:left="1756" w:hanging="1276"/>
        <w:rPr>
          <w:rFonts w:ascii="標楷體" w:eastAsia="標楷體" w:hAnsi="標楷體" w:cs="Times New Roman"/>
          <w:b/>
          <w:spacing w:val="-14"/>
          <w:sz w:val="28"/>
          <w:szCs w:val="28"/>
        </w:rPr>
      </w:pPr>
      <w:r w:rsidRPr="00A41434">
        <w:rPr>
          <w:rFonts w:ascii="標楷體" w:eastAsia="標楷體" w:hAnsi="標楷體" w:cs="Times New Roman" w:hint="eastAsia"/>
          <w:b/>
          <w:spacing w:val="-14"/>
          <w:sz w:val="28"/>
          <w:szCs w:val="28"/>
        </w:rPr>
        <w:t>改善作法：</w:t>
      </w:r>
    </w:p>
    <w:p w:rsidR="004C340B" w:rsidRPr="00A41434" w:rsidRDefault="004C340B" w:rsidP="00ED6091">
      <w:pPr>
        <w:spacing w:line="460" w:lineRule="exact"/>
        <w:ind w:leftChars="200" w:left="1756" w:hanging="1276"/>
        <w:jc w:val="both"/>
        <w:rPr>
          <w:rFonts w:ascii="標楷體" w:eastAsia="標楷體" w:hAnsi="標楷體" w:cs="Times New Roman"/>
          <w:spacing w:val="-14"/>
          <w:sz w:val="28"/>
          <w:szCs w:val="28"/>
        </w:rPr>
      </w:pPr>
      <w:r w:rsidRPr="00A41434">
        <w:rPr>
          <w:rFonts w:ascii="標楷體" w:eastAsia="標楷體" w:hAnsi="標楷體" w:cs="Times New Roman" w:hint="eastAsia"/>
          <w:spacing w:val="-14"/>
          <w:sz w:val="28"/>
          <w:szCs w:val="28"/>
        </w:rPr>
        <w:t>1.參考法規：</w:t>
      </w:r>
    </w:p>
    <w:p w:rsidR="004C340B" w:rsidRPr="00A41434" w:rsidRDefault="004C340B" w:rsidP="00ED6091">
      <w:pPr>
        <w:spacing w:line="460" w:lineRule="exact"/>
        <w:ind w:left="1701" w:hanging="987"/>
        <w:jc w:val="both"/>
        <w:rPr>
          <w:rFonts w:ascii="標楷體" w:eastAsia="標楷體" w:hAnsi="標楷體" w:cs="Times New Roman"/>
          <w:spacing w:val="-14"/>
          <w:sz w:val="28"/>
          <w:szCs w:val="28"/>
        </w:rPr>
      </w:pPr>
      <w:r w:rsidRPr="00A41434">
        <w:rPr>
          <w:rFonts w:ascii="標楷體" w:eastAsia="標楷體" w:hAnsi="標楷體" w:cs="Times New Roman" w:hint="eastAsia"/>
          <w:spacing w:val="-14"/>
          <w:sz w:val="28"/>
          <w:szCs w:val="28"/>
        </w:rPr>
        <w:t>農會漁會信用部淨值占風險性資產比率管理辦法。</w:t>
      </w:r>
    </w:p>
    <w:p w:rsidR="004C340B" w:rsidRPr="00A41434" w:rsidRDefault="004C340B" w:rsidP="00ED6091">
      <w:pPr>
        <w:spacing w:line="460" w:lineRule="exact"/>
        <w:ind w:leftChars="200" w:left="1756" w:hanging="1276"/>
        <w:jc w:val="both"/>
        <w:rPr>
          <w:rFonts w:ascii="標楷體" w:eastAsia="標楷體" w:hAnsi="標楷體" w:cs="Times New Roman"/>
          <w:spacing w:val="-14"/>
          <w:sz w:val="28"/>
          <w:szCs w:val="28"/>
        </w:rPr>
      </w:pPr>
      <w:r w:rsidRPr="00A41434">
        <w:rPr>
          <w:rFonts w:ascii="標楷體" w:eastAsia="標楷體" w:hAnsi="標楷體" w:cs="Times New Roman" w:hint="eastAsia"/>
          <w:spacing w:val="-14"/>
          <w:sz w:val="28"/>
          <w:szCs w:val="28"/>
        </w:rPr>
        <w:t>2.正確建檔並依規定填報及落實複核機制。</w:t>
      </w:r>
    </w:p>
    <w:p w:rsidR="004C340B" w:rsidRPr="00A41434" w:rsidRDefault="004C340B" w:rsidP="00ED6091">
      <w:pPr>
        <w:spacing w:line="460" w:lineRule="exact"/>
        <w:ind w:leftChars="200" w:left="1756" w:hanging="1276"/>
        <w:jc w:val="both"/>
        <w:rPr>
          <w:rFonts w:ascii="標楷體" w:eastAsia="標楷體" w:hAnsi="標楷體" w:cs="Times New Roman"/>
          <w:spacing w:val="-14"/>
          <w:sz w:val="28"/>
          <w:szCs w:val="28"/>
        </w:rPr>
      </w:pPr>
      <w:r w:rsidRPr="00A41434">
        <w:rPr>
          <w:rFonts w:ascii="標楷體" w:eastAsia="標楷體" w:hAnsi="標楷體" w:cs="Times New Roman" w:hint="eastAsia"/>
          <w:spacing w:val="-14"/>
          <w:sz w:val="28"/>
          <w:szCs w:val="28"/>
        </w:rPr>
        <w:t>3.內部稽核將申報資料正確性列為查核重點。</w:t>
      </w:r>
    </w:p>
    <w:p w:rsidR="00431CC5" w:rsidRPr="00A41434" w:rsidRDefault="00431CC5" w:rsidP="008D0AF9">
      <w:pPr>
        <w:spacing w:line="460" w:lineRule="exact"/>
        <w:ind w:left="1276" w:hanging="1276"/>
        <w:jc w:val="both"/>
        <w:rPr>
          <w:rFonts w:ascii="標楷體" w:eastAsia="標楷體" w:hAnsi="標楷體" w:cs="Times New Roman"/>
          <w:spacing w:val="-14"/>
          <w:sz w:val="28"/>
          <w:szCs w:val="28"/>
        </w:rPr>
      </w:pPr>
    </w:p>
    <w:tbl>
      <w:tblPr>
        <w:tblStyle w:val="a8"/>
        <w:tblW w:w="0" w:type="auto"/>
        <w:tblInd w:w="17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44"/>
      </w:tblGrid>
      <w:tr w:rsidR="00787153" w:rsidRPr="00FF178F" w:rsidTr="00787153">
        <w:tc>
          <w:tcPr>
            <w:tcW w:w="8344" w:type="dxa"/>
          </w:tcPr>
          <w:p w:rsidR="00787153" w:rsidRPr="00FF178F" w:rsidRDefault="00787153" w:rsidP="00787153">
            <w:pPr>
              <w:spacing w:line="460" w:lineRule="exact"/>
              <w:ind w:left="1693" w:hanging="1693"/>
              <w:jc w:val="both"/>
              <w:rPr>
                <w:rFonts w:ascii="標楷體" w:eastAsia="標楷體" w:hAnsi="標楷體"/>
                <w:b/>
                <w:sz w:val="28"/>
                <w:szCs w:val="28"/>
              </w:rPr>
            </w:pPr>
            <w:r w:rsidRPr="00FF178F">
              <w:rPr>
                <w:rFonts w:ascii="標楷體" w:eastAsia="標楷體" w:hAnsi="標楷體" w:hint="eastAsia"/>
                <w:b/>
                <w:sz w:val="28"/>
                <w:szCs w:val="28"/>
              </w:rPr>
              <w:t>態樣</w:t>
            </w:r>
            <w:proofErr w:type="gramStart"/>
            <w:r w:rsidRPr="00FF178F">
              <w:rPr>
                <w:rFonts w:ascii="標楷體" w:eastAsia="標楷體" w:hAnsi="標楷體" w:hint="eastAsia"/>
                <w:b/>
                <w:sz w:val="28"/>
                <w:szCs w:val="28"/>
              </w:rPr>
              <w:t>三</w:t>
            </w:r>
            <w:proofErr w:type="gramEnd"/>
            <w:r w:rsidRPr="00FF178F">
              <w:rPr>
                <w:rFonts w:ascii="標楷體" w:eastAsia="標楷體" w:hAnsi="標楷體" w:hint="eastAsia"/>
                <w:b/>
                <w:sz w:val="28"/>
                <w:szCs w:val="28"/>
              </w:rPr>
              <w:t>：建築貸款申報錯誤：</w:t>
            </w:r>
          </w:p>
          <w:p w:rsidR="00191882" w:rsidRPr="00FF178F" w:rsidRDefault="00191882" w:rsidP="00191882">
            <w:pPr>
              <w:spacing w:line="460" w:lineRule="exact"/>
              <w:ind w:left="1410" w:hanging="276"/>
              <w:jc w:val="both"/>
              <w:rPr>
                <w:rFonts w:ascii="標楷體" w:eastAsia="標楷體" w:hAnsi="標楷體"/>
                <w:b/>
                <w:sz w:val="28"/>
                <w:szCs w:val="28"/>
              </w:rPr>
            </w:pPr>
            <w:r w:rsidRPr="00FF178F">
              <w:rPr>
                <w:rFonts w:ascii="標楷體" w:eastAsia="標楷體" w:hAnsi="標楷體" w:hint="eastAsia"/>
                <w:b/>
                <w:sz w:val="28"/>
                <w:szCs w:val="28"/>
              </w:rPr>
              <w:t>1.未將</w:t>
            </w:r>
            <w:r w:rsidR="00ED4A59" w:rsidRPr="00FF178F">
              <w:rPr>
                <w:rFonts w:ascii="標楷體" w:eastAsia="標楷體" w:hAnsi="標楷體" w:hint="eastAsia"/>
                <w:b/>
                <w:sz w:val="28"/>
                <w:szCs w:val="28"/>
              </w:rPr>
              <w:t>建築業</w:t>
            </w:r>
            <w:r w:rsidRPr="00FF178F">
              <w:rPr>
                <w:rFonts w:ascii="標楷體" w:eastAsia="標楷體" w:hAnsi="標楷體" w:hint="eastAsia"/>
                <w:b/>
                <w:sz w:val="28"/>
                <w:szCs w:val="28"/>
              </w:rPr>
              <w:t>所辦理之購地貸款及週轉金貸款列入申報。</w:t>
            </w:r>
          </w:p>
          <w:p w:rsidR="0096332E" w:rsidRPr="00FF178F" w:rsidRDefault="00191882" w:rsidP="00B341B9">
            <w:pPr>
              <w:spacing w:line="460" w:lineRule="exact"/>
              <w:ind w:left="1410" w:hanging="276"/>
              <w:jc w:val="both"/>
              <w:rPr>
                <w:rFonts w:ascii="標楷體" w:eastAsia="標楷體" w:hAnsi="標楷體"/>
                <w:b/>
                <w:sz w:val="28"/>
                <w:szCs w:val="28"/>
              </w:rPr>
            </w:pPr>
            <w:r w:rsidRPr="00FF178F">
              <w:rPr>
                <w:rFonts w:ascii="標楷體" w:eastAsia="標楷體" w:hAnsi="標楷體" w:hint="eastAsia"/>
                <w:b/>
                <w:sz w:val="28"/>
                <w:szCs w:val="28"/>
              </w:rPr>
              <w:lastRenderedPageBreak/>
              <w:t>2.未將個人從事建築投資所辦理之</w:t>
            </w:r>
            <w:r w:rsidR="00ED4A59" w:rsidRPr="00FF178F">
              <w:rPr>
                <w:rFonts w:ascii="標楷體" w:eastAsia="標楷體" w:hAnsi="標楷體" w:hint="eastAsia"/>
                <w:b/>
                <w:sz w:val="28"/>
                <w:szCs w:val="28"/>
              </w:rPr>
              <w:t>購地及</w:t>
            </w:r>
            <w:r w:rsidRPr="00FF178F">
              <w:rPr>
                <w:rFonts w:ascii="標楷體" w:eastAsia="標楷體" w:hAnsi="標楷體" w:hint="eastAsia"/>
                <w:b/>
                <w:sz w:val="28"/>
                <w:szCs w:val="28"/>
              </w:rPr>
              <w:t>週轉金貸款列入申報。</w:t>
            </w:r>
          </w:p>
          <w:p w:rsidR="00B341B9" w:rsidRPr="00FF178F" w:rsidRDefault="00B341B9" w:rsidP="00933029">
            <w:pPr>
              <w:spacing w:line="460" w:lineRule="exact"/>
              <w:ind w:left="1410" w:hanging="276"/>
              <w:jc w:val="both"/>
              <w:rPr>
                <w:rFonts w:ascii="標楷體" w:eastAsia="標楷體" w:hAnsi="標楷體"/>
                <w:b/>
                <w:spacing w:val="-14"/>
                <w:sz w:val="28"/>
                <w:szCs w:val="28"/>
              </w:rPr>
            </w:pPr>
          </w:p>
        </w:tc>
      </w:tr>
    </w:tbl>
    <w:p w:rsidR="00787153" w:rsidRPr="00A41434" w:rsidRDefault="00787153" w:rsidP="00B456C6">
      <w:pPr>
        <w:spacing w:line="460" w:lineRule="exact"/>
        <w:ind w:leftChars="200" w:left="1756" w:hanging="1276"/>
        <w:rPr>
          <w:rFonts w:ascii="標楷體" w:eastAsia="標楷體" w:hAnsi="標楷體" w:cs="Times New Roman"/>
          <w:b/>
          <w:spacing w:val="-14"/>
          <w:sz w:val="28"/>
          <w:szCs w:val="28"/>
        </w:rPr>
      </w:pPr>
      <w:r w:rsidRPr="00A41434">
        <w:rPr>
          <w:rFonts w:ascii="標楷體" w:eastAsia="標楷體" w:hAnsi="標楷體" w:cs="Times New Roman" w:hint="eastAsia"/>
          <w:b/>
          <w:spacing w:val="-14"/>
          <w:sz w:val="28"/>
          <w:szCs w:val="28"/>
        </w:rPr>
        <w:lastRenderedPageBreak/>
        <w:t>改善作法：</w:t>
      </w:r>
    </w:p>
    <w:p w:rsidR="00787153" w:rsidRPr="00A41434" w:rsidRDefault="00787153" w:rsidP="00B456C6">
      <w:pPr>
        <w:spacing w:line="460" w:lineRule="exact"/>
        <w:ind w:leftChars="200" w:left="1756" w:hanging="1276"/>
        <w:jc w:val="both"/>
        <w:rPr>
          <w:rFonts w:ascii="標楷體" w:eastAsia="標楷體" w:hAnsi="標楷體" w:cs="Times New Roman"/>
          <w:spacing w:val="-14"/>
          <w:sz w:val="28"/>
          <w:szCs w:val="28"/>
        </w:rPr>
      </w:pPr>
      <w:r w:rsidRPr="00A41434">
        <w:rPr>
          <w:rFonts w:ascii="標楷體" w:eastAsia="標楷體" w:hAnsi="標楷體" w:cs="Times New Roman" w:hint="eastAsia"/>
          <w:spacing w:val="-14"/>
          <w:sz w:val="28"/>
          <w:szCs w:val="28"/>
        </w:rPr>
        <w:t>1.參考法規：</w:t>
      </w:r>
    </w:p>
    <w:p w:rsidR="00787153" w:rsidRPr="00A41434" w:rsidRDefault="00787153" w:rsidP="00FF7CEA">
      <w:pPr>
        <w:spacing w:line="460" w:lineRule="exact"/>
        <w:ind w:left="714"/>
        <w:jc w:val="both"/>
        <w:rPr>
          <w:rFonts w:ascii="標楷體" w:eastAsia="標楷體" w:hAnsi="標楷體" w:cs="Times New Roman"/>
          <w:spacing w:val="-14"/>
          <w:sz w:val="28"/>
          <w:szCs w:val="28"/>
        </w:rPr>
      </w:pPr>
      <w:r w:rsidRPr="00A41434">
        <w:rPr>
          <w:rFonts w:ascii="標楷體" w:eastAsia="標楷體" w:hAnsi="標楷體" w:cs="Times New Roman" w:hint="eastAsia"/>
          <w:spacing w:val="-14"/>
          <w:sz w:val="28"/>
          <w:szCs w:val="28"/>
        </w:rPr>
        <w:t>行政院農業委員會10</w:t>
      </w:r>
      <w:r w:rsidR="00FF178F">
        <w:rPr>
          <w:rFonts w:ascii="標楷體" w:eastAsia="標楷體" w:hAnsi="標楷體" w:cs="Times New Roman" w:hint="eastAsia"/>
          <w:spacing w:val="-14"/>
          <w:sz w:val="28"/>
          <w:szCs w:val="28"/>
        </w:rPr>
        <w:t>5</w:t>
      </w:r>
      <w:r w:rsidRPr="00A41434">
        <w:rPr>
          <w:rFonts w:ascii="標楷體" w:eastAsia="標楷體" w:hAnsi="標楷體" w:cs="Times New Roman" w:hint="eastAsia"/>
          <w:spacing w:val="-14"/>
          <w:sz w:val="28"/>
          <w:szCs w:val="28"/>
        </w:rPr>
        <w:t>年</w:t>
      </w:r>
      <w:r w:rsidR="00FF178F">
        <w:rPr>
          <w:rFonts w:ascii="標楷體" w:eastAsia="標楷體" w:hAnsi="標楷體" w:cs="Times New Roman" w:hint="eastAsia"/>
          <w:spacing w:val="-14"/>
          <w:sz w:val="28"/>
          <w:szCs w:val="28"/>
        </w:rPr>
        <w:t>1</w:t>
      </w:r>
      <w:r w:rsidRPr="00A41434">
        <w:rPr>
          <w:rFonts w:ascii="標楷體" w:eastAsia="標楷體" w:hAnsi="標楷體" w:cs="Times New Roman" w:hint="eastAsia"/>
          <w:spacing w:val="-14"/>
          <w:sz w:val="28"/>
          <w:szCs w:val="28"/>
        </w:rPr>
        <w:t>月</w:t>
      </w:r>
      <w:r w:rsidR="00FF178F">
        <w:rPr>
          <w:rFonts w:ascii="標楷體" w:eastAsia="標楷體" w:hAnsi="標楷體" w:cs="Times New Roman" w:hint="eastAsia"/>
          <w:spacing w:val="-14"/>
          <w:sz w:val="28"/>
          <w:szCs w:val="28"/>
        </w:rPr>
        <w:t>14</w:t>
      </w:r>
      <w:r w:rsidRPr="00A41434">
        <w:rPr>
          <w:rFonts w:ascii="標楷體" w:eastAsia="標楷體" w:hAnsi="標楷體" w:cs="Times New Roman" w:hint="eastAsia"/>
          <w:spacing w:val="-14"/>
          <w:sz w:val="28"/>
          <w:szCs w:val="28"/>
        </w:rPr>
        <w:t>日</w:t>
      </w:r>
      <w:proofErr w:type="gramStart"/>
      <w:r w:rsidRPr="00A41434">
        <w:rPr>
          <w:rFonts w:ascii="標楷體" w:eastAsia="標楷體" w:hAnsi="標楷體" w:cs="Times New Roman" w:hint="eastAsia"/>
          <w:spacing w:val="-14"/>
          <w:sz w:val="28"/>
          <w:szCs w:val="28"/>
        </w:rPr>
        <w:t>農</w:t>
      </w:r>
      <w:r w:rsidR="00FF178F">
        <w:rPr>
          <w:rFonts w:ascii="標楷體" w:eastAsia="標楷體" w:hAnsi="標楷體" w:cs="Times New Roman" w:hint="eastAsia"/>
          <w:spacing w:val="-14"/>
          <w:sz w:val="28"/>
          <w:szCs w:val="28"/>
        </w:rPr>
        <w:t>授</w:t>
      </w:r>
      <w:r w:rsidRPr="00A41434">
        <w:rPr>
          <w:rFonts w:ascii="標楷體" w:eastAsia="標楷體" w:hAnsi="標楷體" w:cs="Times New Roman" w:hint="eastAsia"/>
          <w:spacing w:val="-14"/>
          <w:sz w:val="28"/>
          <w:szCs w:val="28"/>
        </w:rPr>
        <w:t>金</w:t>
      </w:r>
      <w:proofErr w:type="gramEnd"/>
      <w:r w:rsidRPr="00A41434">
        <w:rPr>
          <w:rFonts w:ascii="標楷體" w:eastAsia="標楷體" w:hAnsi="標楷體" w:cs="Times New Roman" w:hint="eastAsia"/>
          <w:spacing w:val="-14"/>
          <w:sz w:val="28"/>
          <w:szCs w:val="28"/>
        </w:rPr>
        <w:t>字第</w:t>
      </w:r>
      <w:r w:rsidR="00FF178F">
        <w:rPr>
          <w:rFonts w:ascii="標楷體" w:eastAsia="標楷體" w:hAnsi="標楷體" w:cs="Times New Roman" w:hint="eastAsia"/>
          <w:spacing w:val="-14"/>
          <w:sz w:val="28"/>
          <w:szCs w:val="28"/>
        </w:rPr>
        <w:t>1055074012</w:t>
      </w:r>
      <w:r w:rsidRPr="00A41434">
        <w:rPr>
          <w:rFonts w:ascii="標楷體" w:eastAsia="標楷體" w:hAnsi="標楷體" w:cs="Times New Roman" w:hint="eastAsia"/>
          <w:spacing w:val="-14"/>
          <w:sz w:val="28"/>
          <w:szCs w:val="28"/>
        </w:rPr>
        <w:t>號函所</w:t>
      </w:r>
      <w:r w:rsidRPr="00A41434">
        <w:rPr>
          <w:rFonts w:ascii="標楷體" w:eastAsia="標楷體" w:hAnsi="標楷體" w:cs="Times New Roman"/>
          <w:spacing w:val="-14"/>
          <w:sz w:val="28"/>
          <w:szCs w:val="28"/>
        </w:rPr>
        <w:t>訂「農漁會信用部建築貸款管控措施問與答」</w:t>
      </w:r>
      <w:r w:rsidRPr="00A41434">
        <w:rPr>
          <w:rFonts w:ascii="標楷體" w:eastAsia="標楷體" w:hAnsi="標楷體" w:cs="Times New Roman" w:hint="eastAsia"/>
          <w:spacing w:val="-14"/>
          <w:sz w:val="28"/>
          <w:szCs w:val="28"/>
        </w:rPr>
        <w:t>，建築貸款</w:t>
      </w:r>
      <w:r w:rsidR="00FF178F">
        <w:rPr>
          <w:rFonts w:ascii="標楷體" w:eastAsia="標楷體" w:hAnsi="標楷體" w:cs="Times New Roman" w:hint="eastAsia"/>
          <w:spacing w:val="-14"/>
          <w:sz w:val="28"/>
          <w:szCs w:val="28"/>
        </w:rPr>
        <w:t>定義</w:t>
      </w:r>
      <w:r w:rsidRPr="00A41434">
        <w:rPr>
          <w:rFonts w:ascii="標楷體" w:eastAsia="標楷體" w:hAnsi="標楷體" w:cs="Times New Roman" w:hint="eastAsia"/>
          <w:spacing w:val="-14"/>
          <w:sz w:val="28"/>
          <w:szCs w:val="28"/>
        </w:rPr>
        <w:t>如下:</w:t>
      </w:r>
    </w:p>
    <w:p w:rsidR="00787153" w:rsidRPr="00E45FBB" w:rsidRDefault="00787153" w:rsidP="00933F8B">
      <w:pPr>
        <w:spacing w:line="460" w:lineRule="exact"/>
        <w:ind w:leftChars="199" w:left="1034" w:hanging="556"/>
        <w:jc w:val="both"/>
        <w:rPr>
          <w:rFonts w:ascii="標楷體" w:eastAsia="標楷體" w:hAnsi="標楷體" w:cs="Times New Roman"/>
          <w:spacing w:val="-14"/>
          <w:sz w:val="28"/>
          <w:szCs w:val="28"/>
        </w:rPr>
      </w:pPr>
      <w:r w:rsidRPr="00A41434">
        <w:rPr>
          <w:rFonts w:ascii="標楷體" w:eastAsia="標楷體" w:hAnsi="標楷體" w:cs="Times New Roman" w:hint="eastAsia"/>
          <w:spacing w:val="-14"/>
          <w:sz w:val="28"/>
          <w:szCs w:val="28"/>
        </w:rPr>
        <w:t>（1）建築業貸款</w:t>
      </w:r>
      <w:r w:rsidR="00FF178F">
        <w:rPr>
          <w:rFonts w:ascii="標楷體" w:eastAsia="標楷體" w:hAnsi="標楷體" w:cs="Times New Roman" w:hint="eastAsia"/>
          <w:spacing w:val="-14"/>
          <w:sz w:val="28"/>
          <w:szCs w:val="28"/>
        </w:rPr>
        <w:t>：</w:t>
      </w:r>
      <w:r w:rsidR="00E45FBB" w:rsidRPr="00E45FBB">
        <w:rPr>
          <w:rFonts w:ascii="標楷體" w:eastAsia="標楷體" w:hAnsi="標楷體" w:cs="Times New Roman" w:hint="eastAsia"/>
          <w:spacing w:val="-14"/>
          <w:sz w:val="28"/>
          <w:szCs w:val="28"/>
        </w:rPr>
        <w:t>係指對以房屋興建投資為主要業務之企業承做之購地、興建房屋及週轉金貸款，但房屋興建屬自用部分則不包含之。</w:t>
      </w:r>
    </w:p>
    <w:p w:rsidR="00787153" w:rsidRPr="00A41434" w:rsidRDefault="00787153" w:rsidP="00933F8B">
      <w:pPr>
        <w:spacing w:line="460" w:lineRule="exact"/>
        <w:ind w:leftChars="199" w:left="1034" w:hanging="556"/>
        <w:jc w:val="both"/>
        <w:rPr>
          <w:rFonts w:ascii="標楷體" w:eastAsia="標楷體" w:hAnsi="標楷體" w:cs="Times New Roman"/>
          <w:spacing w:val="-14"/>
          <w:sz w:val="28"/>
          <w:szCs w:val="28"/>
        </w:rPr>
      </w:pPr>
      <w:r w:rsidRPr="00A41434">
        <w:rPr>
          <w:rFonts w:ascii="標楷體" w:eastAsia="標楷體" w:hAnsi="標楷體" w:cs="Times New Roman" w:hint="eastAsia"/>
          <w:spacing w:val="-14"/>
          <w:sz w:val="28"/>
          <w:szCs w:val="28"/>
        </w:rPr>
        <w:t>（2）對其他企業建築貸款</w:t>
      </w:r>
      <w:r w:rsidR="00FF178F">
        <w:rPr>
          <w:rFonts w:ascii="標楷體" w:eastAsia="標楷體" w:hAnsi="標楷體" w:cs="Times New Roman" w:hint="eastAsia"/>
          <w:spacing w:val="-14"/>
          <w:sz w:val="28"/>
          <w:szCs w:val="28"/>
        </w:rPr>
        <w:t>：</w:t>
      </w:r>
      <w:r w:rsidRPr="00A41434">
        <w:rPr>
          <w:rFonts w:ascii="標楷體" w:eastAsia="標楷體" w:hAnsi="標楷體" w:cs="Times New Roman" w:hint="eastAsia"/>
          <w:spacing w:val="-14"/>
          <w:sz w:val="28"/>
          <w:szCs w:val="28"/>
        </w:rPr>
        <w:t>係指對建築業以外之企業因承做房屋興建投資所辦理之購地、興建房屋及週轉金貸款，但房屋興建屬自用部分則不包含之。</w:t>
      </w:r>
    </w:p>
    <w:p w:rsidR="00787153" w:rsidRPr="00A41434" w:rsidRDefault="00787153" w:rsidP="00933F8B">
      <w:pPr>
        <w:spacing w:line="460" w:lineRule="exact"/>
        <w:ind w:leftChars="199" w:left="1034" w:hanging="556"/>
        <w:jc w:val="both"/>
        <w:rPr>
          <w:rFonts w:ascii="標楷體" w:eastAsia="標楷體" w:hAnsi="標楷體" w:cs="Times New Roman"/>
          <w:spacing w:val="-14"/>
          <w:sz w:val="28"/>
          <w:szCs w:val="28"/>
        </w:rPr>
      </w:pPr>
      <w:r w:rsidRPr="00A41434">
        <w:rPr>
          <w:rFonts w:ascii="標楷體" w:eastAsia="標楷體" w:hAnsi="標楷體" w:cs="Times New Roman" w:hint="eastAsia"/>
          <w:spacing w:val="-14"/>
          <w:sz w:val="28"/>
          <w:szCs w:val="28"/>
        </w:rPr>
        <w:t>（3）對個人戶建築貸款</w:t>
      </w:r>
      <w:r w:rsidR="00FF178F">
        <w:rPr>
          <w:rFonts w:ascii="標楷體" w:eastAsia="標楷體" w:hAnsi="標楷體" w:cs="Times New Roman" w:hint="eastAsia"/>
          <w:spacing w:val="-14"/>
          <w:sz w:val="28"/>
          <w:szCs w:val="28"/>
        </w:rPr>
        <w:t>：</w:t>
      </w:r>
      <w:r w:rsidRPr="00A41434">
        <w:rPr>
          <w:rFonts w:ascii="標楷體" w:eastAsia="標楷體" w:hAnsi="標楷體" w:cs="Times New Roman" w:hint="eastAsia"/>
          <w:spacing w:val="-14"/>
          <w:sz w:val="28"/>
          <w:szCs w:val="28"/>
        </w:rPr>
        <w:t>係指對從事建築投資之個人所辦理之購地、興建房屋及週轉金貸款，但房屋興建屬自用部分則不包含之。</w:t>
      </w:r>
    </w:p>
    <w:p w:rsidR="00787153" w:rsidRPr="00A41434" w:rsidRDefault="00787153" w:rsidP="00B456C6">
      <w:pPr>
        <w:spacing w:line="460" w:lineRule="exact"/>
        <w:ind w:leftChars="200" w:left="1756" w:hanging="1276"/>
        <w:jc w:val="both"/>
        <w:rPr>
          <w:rFonts w:ascii="標楷體" w:eastAsia="標楷體" w:hAnsi="標楷體" w:cs="Times New Roman"/>
          <w:spacing w:val="-14"/>
          <w:sz w:val="28"/>
          <w:szCs w:val="28"/>
        </w:rPr>
      </w:pPr>
      <w:r w:rsidRPr="00A41434">
        <w:rPr>
          <w:rFonts w:ascii="標楷體" w:eastAsia="標楷體" w:hAnsi="標楷體" w:cs="Times New Roman" w:hint="eastAsia"/>
          <w:spacing w:val="-14"/>
          <w:sz w:val="28"/>
          <w:szCs w:val="28"/>
        </w:rPr>
        <w:t>2.正確建檔並依規定填報及落實複核機制。</w:t>
      </w:r>
    </w:p>
    <w:p w:rsidR="00787153" w:rsidRPr="00A41434" w:rsidRDefault="00787153" w:rsidP="00B456C6">
      <w:pPr>
        <w:spacing w:line="460" w:lineRule="exact"/>
        <w:ind w:leftChars="200" w:left="1756" w:hanging="1276"/>
        <w:jc w:val="both"/>
        <w:rPr>
          <w:rFonts w:ascii="標楷體" w:eastAsia="標楷體" w:hAnsi="標楷體" w:cs="Times New Roman"/>
          <w:spacing w:val="-14"/>
          <w:sz w:val="28"/>
          <w:szCs w:val="28"/>
        </w:rPr>
      </w:pPr>
      <w:r w:rsidRPr="00A41434">
        <w:rPr>
          <w:rFonts w:ascii="標楷體" w:eastAsia="標楷體" w:hAnsi="標楷體" w:cs="Times New Roman" w:hint="eastAsia"/>
          <w:spacing w:val="-14"/>
          <w:sz w:val="28"/>
          <w:szCs w:val="28"/>
        </w:rPr>
        <w:t>3.內部稽核將申報資料正確性列為查核重點。</w:t>
      </w:r>
    </w:p>
    <w:p w:rsidR="009B59DC" w:rsidRPr="00A41434" w:rsidRDefault="009B59DC" w:rsidP="00B456C6">
      <w:pPr>
        <w:spacing w:line="460" w:lineRule="exact"/>
        <w:ind w:leftChars="200" w:left="1756" w:hanging="1276"/>
        <w:jc w:val="both"/>
        <w:rPr>
          <w:rFonts w:ascii="標楷體" w:eastAsia="標楷體" w:hAnsi="標楷體" w:cs="Times New Roman"/>
          <w:spacing w:val="-14"/>
          <w:sz w:val="28"/>
          <w:szCs w:val="28"/>
        </w:rPr>
      </w:pPr>
    </w:p>
    <w:sectPr w:rsidR="009B59DC" w:rsidRPr="00A41434" w:rsidSect="000B724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F8B" w:rsidRDefault="00933F8B" w:rsidP="00A42FFF">
      <w:r>
        <w:separator/>
      </w:r>
    </w:p>
  </w:endnote>
  <w:endnote w:type="continuationSeparator" w:id="0">
    <w:p w:rsidR="00933F8B" w:rsidRDefault="00933F8B" w:rsidP="00A42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8885"/>
      <w:docPartObj>
        <w:docPartGallery w:val="Page Numbers (Bottom of Page)"/>
        <w:docPartUnique/>
      </w:docPartObj>
    </w:sdtPr>
    <w:sdtContent>
      <w:p w:rsidR="00933F8B" w:rsidRDefault="004A2FA1">
        <w:pPr>
          <w:pStyle w:val="a6"/>
          <w:jc w:val="center"/>
        </w:pPr>
        <w:fldSimple w:instr=" PAGE   \* MERGEFORMAT ">
          <w:r w:rsidR="00201517" w:rsidRPr="00201517">
            <w:rPr>
              <w:noProof/>
              <w:lang w:val="zh-TW"/>
            </w:rPr>
            <w:t>3</w:t>
          </w:r>
        </w:fldSimple>
      </w:p>
    </w:sdtContent>
  </w:sdt>
  <w:p w:rsidR="00933F8B" w:rsidRDefault="00933F8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F8B" w:rsidRDefault="00933F8B" w:rsidP="00A42FFF">
      <w:r>
        <w:separator/>
      </w:r>
    </w:p>
  </w:footnote>
  <w:footnote w:type="continuationSeparator" w:id="0">
    <w:p w:rsidR="00933F8B" w:rsidRDefault="00933F8B" w:rsidP="00A42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7704E"/>
    <w:multiLevelType w:val="hybridMultilevel"/>
    <w:tmpl w:val="06AC326A"/>
    <w:lvl w:ilvl="0" w:tplc="CB4A8724">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nsid w:val="410A695B"/>
    <w:multiLevelType w:val="hybridMultilevel"/>
    <w:tmpl w:val="F29E3AF8"/>
    <w:lvl w:ilvl="0" w:tplc="2D0A32BE">
      <w:start w:val="1"/>
      <w:numFmt w:val="decimal"/>
      <w:lvlText w:val="%1."/>
      <w:lvlJc w:val="left"/>
      <w:pPr>
        <w:ind w:left="1486" w:hanging="360"/>
      </w:pPr>
      <w:rPr>
        <w:rFonts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2">
    <w:nsid w:val="6819501C"/>
    <w:multiLevelType w:val="hybridMultilevel"/>
    <w:tmpl w:val="5DDA0912"/>
    <w:lvl w:ilvl="0" w:tplc="060C7CAC">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7345" style="mso-position-horizontal:center;mso-height-percent:200;mso-width-relative:margin;mso-height-relative:margin" fillcolor="white" strokecolor="#0070c0">
      <v:fill color="white"/>
      <v:stroke color="#0070c0" weight="6pt" linestyle="thickBetweenThin"/>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EB"/>
    <w:rsid w:val="00003AD5"/>
    <w:rsid w:val="00005FCF"/>
    <w:rsid w:val="00011DA0"/>
    <w:rsid w:val="00022A6F"/>
    <w:rsid w:val="0003582C"/>
    <w:rsid w:val="000375B2"/>
    <w:rsid w:val="00056A0F"/>
    <w:rsid w:val="00062F65"/>
    <w:rsid w:val="000825B8"/>
    <w:rsid w:val="000A3208"/>
    <w:rsid w:val="000B7245"/>
    <w:rsid w:val="000E4016"/>
    <w:rsid w:val="00104718"/>
    <w:rsid w:val="0011694C"/>
    <w:rsid w:val="0013053A"/>
    <w:rsid w:val="0014405D"/>
    <w:rsid w:val="00151F80"/>
    <w:rsid w:val="00156785"/>
    <w:rsid w:val="00184845"/>
    <w:rsid w:val="00185EF7"/>
    <w:rsid w:val="00191882"/>
    <w:rsid w:val="00196166"/>
    <w:rsid w:val="001B214A"/>
    <w:rsid w:val="001C08D9"/>
    <w:rsid w:val="001C4048"/>
    <w:rsid w:val="001F27DA"/>
    <w:rsid w:val="001F7FF5"/>
    <w:rsid w:val="00201517"/>
    <w:rsid w:val="00201E9E"/>
    <w:rsid w:val="002049F0"/>
    <w:rsid w:val="0021592E"/>
    <w:rsid w:val="00217B7D"/>
    <w:rsid w:val="0022063C"/>
    <w:rsid w:val="00231107"/>
    <w:rsid w:val="00274E06"/>
    <w:rsid w:val="002758F0"/>
    <w:rsid w:val="002A5950"/>
    <w:rsid w:val="002A5B85"/>
    <w:rsid w:val="002D2343"/>
    <w:rsid w:val="00302A09"/>
    <w:rsid w:val="00305064"/>
    <w:rsid w:val="00315CFC"/>
    <w:rsid w:val="00331719"/>
    <w:rsid w:val="00375A90"/>
    <w:rsid w:val="003806EC"/>
    <w:rsid w:val="00387865"/>
    <w:rsid w:val="003A6E0E"/>
    <w:rsid w:val="003C6D47"/>
    <w:rsid w:val="003E1ECA"/>
    <w:rsid w:val="003F4A29"/>
    <w:rsid w:val="00431CC5"/>
    <w:rsid w:val="00443757"/>
    <w:rsid w:val="0044639D"/>
    <w:rsid w:val="0045186F"/>
    <w:rsid w:val="0046084B"/>
    <w:rsid w:val="00476D42"/>
    <w:rsid w:val="00483217"/>
    <w:rsid w:val="00486559"/>
    <w:rsid w:val="004A2FA1"/>
    <w:rsid w:val="004C340B"/>
    <w:rsid w:val="004E67EB"/>
    <w:rsid w:val="00516F31"/>
    <w:rsid w:val="005801D4"/>
    <w:rsid w:val="00585F2E"/>
    <w:rsid w:val="0059136F"/>
    <w:rsid w:val="005A4389"/>
    <w:rsid w:val="005C2ED4"/>
    <w:rsid w:val="005F1BFC"/>
    <w:rsid w:val="006013FE"/>
    <w:rsid w:val="00670FBC"/>
    <w:rsid w:val="00676481"/>
    <w:rsid w:val="006A0B0A"/>
    <w:rsid w:val="006B20B9"/>
    <w:rsid w:val="006D615D"/>
    <w:rsid w:val="006F3AE2"/>
    <w:rsid w:val="00702F0A"/>
    <w:rsid w:val="00706EEC"/>
    <w:rsid w:val="00711738"/>
    <w:rsid w:val="007118DD"/>
    <w:rsid w:val="00726C64"/>
    <w:rsid w:val="00726FA3"/>
    <w:rsid w:val="007352E4"/>
    <w:rsid w:val="00743C5F"/>
    <w:rsid w:val="007735AB"/>
    <w:rsid w:val="00785B9F"/>
    <w:rsid w:val="00787153"/>
    <w:rsid w:val="007A5622"/>
    <w:rsid w:val="007B32C9"/>
    <w:rsid w:val="007D5ACA"/>
    <w:rsid w:val="007F1BBD"/>
    <w:rsid w:val="008100B0"/>
    <w:rsid w:val="008228CB"/>
    <w:rsid w:val="008275F7"/>
    <w:rsid w:val="008361CF"/>
    <w:rsid w:val="00865634"/>
    <w:rsid w:val="008725A6"/>
    <w:rsid w:val="008741CB"/>
    <w:rsid w:val="00882EF2"/>
    <w:rsid w:val="00885987"/>
    <w:rsid w:val="008911F8"/>
    <w:rsid w:val="008B239E"/>
    <w:rsid w:val="008D0AF9"/>
    <w:rsid w:val="00916238"/>
    <w:rsid w:val="009275C2"/>
    <w:rsid w:val="00933029"/>
    <w:rsid w:val="00933F8B"/>
    <w:rsid w:val="009366A0"/>
    <w:rsid w:val="00943EAA"/>
    <w:rsid w:val="00956E25"/>
    <w:rsid w:val="009622D4"/>
    <w:rsid w:val="0096332E"/>
    <w:rsid w:val="009A2949"/>
    <w:rsid w:val="009B59DC"/>
    <w:rsid w:val="00A351A4"/>
    <w:rsid w:val="00A4082E"/>
    <w:rsid w:val="00A41434"/>
    <w:rsid w:val="00A42FFF"/>
    <w:rsid w:val="00A57694"/>
    <w:rsid w:val="00A655EC"/>
    <w:rsid w:val="00A83B20"/>
    <w:rsid w:val="00A87355"/>
    <w:rsid w:val="00AA0582"/>
    <w:rsid w:val="00AC5C74"/>
    <w:rsid w:val="00AC653B"/>
    <w:rsid w:val="00AE5701"/>
    <w:rsid w:val="00AE6686"/>
    <w:rsid w:val="00B24D0A"/>
    <w:rsid w:val="00B272DE"/>
    <w:rsid w:val="00B341B9"/>
    <w:rsid w:val="00B36A56"/>
    <w:rsid w:val="00B456C6"/>
    <w:rsid w:val="00B66CFA"/>
    <w:rsid w:val="00B77BBC"/>
    <w:rsid w:val="00B82C6C"/>
    <w:rsid w:val="00B8680D"/>
    <w:rsid w:val="00B91699"/>
    <w:rsid w:val="00BA45F7"/>
    <w:rsid w:val="00BC4476"/>
    <w:rsid w:val="00BE7BE6"/>
    <w:rsid w:val="00BF30A9"/>
    <w:rsid w:val="00C03ECB"/>
    <w:rsid w:val="00C13B18"/>
    <w:rsid w:val="00C24610"/>
    <w:rsid w:val="00C638D0"/>
    <w:rsid w:val="00C71F97"/>
    <w:rsid w:val="00CD7949"/>
    <w:rsid w:val="00CE0EE8"/>
    <w:rsid w:val="00D31BA8"/>
    <w:rsid w:val="00D67677"/>
    <w:rsid w:val="00DB0876"/>
    <w:rsid w:val="00DC13BB"/>
    <w:rsid w:val="00DD58B9"/>
    <w:rsid w:val="00DE0D94"/>
    <w:rsid w:val="00DE59D9"/>
    <w:rsid w:val="00DF77B6"/>
    <w:rsid w:val="00E04711"/>
    <w:rsid w:val="00E165AF"/>
    <w:rsid w:val="00E24824"/>
    <w:rsid w:val="00E45FBB"/>
    <w:rsid w:val="00E46306"/>
    <w:rsid w:val="00E620AC"/>
    <w:rsid w:val="00E84FC6"/>
    <w:rsid w:val="00EA261D"/>
    <w:rsid w:val="00ED4A59"/>
    <w:rsid w:val="00ED6091"/>
    <w:rsid w:val="00EE4A65"/>
    <w:rsid w:val="00EE6A92"/>
    <w:rsid w:val="00F02F5E"/>
    <w:rsid w:val="00F07392"/>
    <w:rsid w:val="00F16DEF"/>
    <w:rsid w:val="00F6254A"/>
    <w:rsid w:val="00F77C00"/>
    <w:rsid w:val="00F80170"/>
    <w:rsid w:val="00FB4DF7"/>
    <w:rsid w:val="00FC0492"/>
    <w:rsid w:val="00FD6F29"/>
    <w:rsid w:val="00FF0B20"/>
    <w:rsid w:val="00FF178F"/>
    <w:rsid w:val="00FF439B"/>
    <w:rsid w:val="00FF7CE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7345" style="mso-position-horizontal:center;mso-height-percent:200;mso-width-relative:margin;mso-height-relative:margin" fillcolor="white" strokecolor="#0070c0">
      <v:fill color="white"/>
      <v:stroke color="#0070c0" weight="6pt" linestyle="thickBetweenThin"/>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7E667-84A8-463F-9DA9-6BE46779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Pages>
  <Words>208</Words>
  <Characters>1186</Characters>
  <Application>Microsoft Office Word</Application>
  <DocSecurity>0</DocSecurity>
  <Lines>9</Lines>
  <Paragraphs>2</Paragraphs>
  <ScaleCrop>false</ScaleCrop>
  <Company>CDIC</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c137</dc:creator>
  <cp:lastModifiedBy>c280</cp:lastModifiedBy>
  <cp:revision>63</cp:revision>
  <cp:lastPrinted>2016-02-01T01:06:00Z</cp:lastPrinted>
  <dcterms:created xsi:type="dcterms:W3CDTF">2015-07-24T06:42:00Z</dcterms:created>
  <dcterms:modified xsi:type="dcterms:W3CDTF">2016-02-04T09:14:00Z</dcterms:modified>
</cp:coreProperties>
</file>