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EB" w:rsidRPr="00DE09E6" w:rsidRDefault="004E67EB" w:rsidP="000E2D78">
      <w:pPr>
        <w:spacing w:line="460" w:lineRule="exact"/>
        <w:ind w:left="1410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DE09E6">
        <w:rPr>
          <w:rFonts w:ascii="標楷體" w:eastAsia="標楷體" w:hAnsi="標楷體"/>
          <w:b/>
          <w:sz w:val="28"/>
          <w:szCs w:val="28"/>
        </w:rPr>
        <w:t>風險指標資料</w:t>
      </w:r>
      <w:r w:rsidRPr="00DE09E6">
        <w:rPr>
          <w:rFonts w:ascii="標楷體" w:eastAsia="標楷體" w:hAnsi="標楷體" w:hint="eastAsia"/>
          <w:b/>
          <w:sz w:val="28"/>
          <w:szCs w:val="28"/>
        </w:rPr>
        <w:t>查核缺失態樣</w:t>
      </w:r>
      <w:r w:rsidR="009C5010" w:rsidRPr="00DE09E6">
        <w:rPr>
          <w:rFonts w:ascii="標楷體" w:eastAsia="標楷體" w:hAnsi="標楷體" w:hint="eastAsia"/>
          <w:b/>
          <w:sz w:val="28"/>
          <w:szCs w:val="28"/>
        </w:rPr>
        <w:t>（10</w:t>
      </w:r>
      <w:r w:rsidR="00A5625A">
        <w:rPr>
          <w:rFonts w:ascii="標楷體" w:eastAsia="標楷體" w:hAnsi="標楷體" w:hint="eastAsia"/>
          <w:b/>
          <w:sz w:val="28"/>
          <w:szCs w:val="28"/>
        </w:rPr>
        <w:t>5</w:t>
      </w:r>
      <w:r w:rsidR="009C5010" w:rsidRPr="00DE09E6">
        <w:rPr>
          <w:rFonts w:ascii="標楷體" w:eastAsia="標楷體" w:hAnsi="標楷體" w:hint="eastAsia"/>
          <w:b/>
          <w:sz w:val="28"/>
          <w:szCs w:val="28"/>
        </w:rPr>
        <w:t>年</w:t>
      </w:r>
      <w:r w:rsidR="00A5625A">
        <w:rPr>
          <w:rFonts w:ascii="標楷體" w:eastAsia="標楷體" w:hAnsi="標楷體" w:hint="eastAsia"/>
          <w:b/>
          <w:sz w:val="28"/>
          <w:szCs w:val="28"/>
        </w:rPr>
        <w:t>上</w:t>
      </w:r>
      <w:r w:rsidR="00534097" w:rsidRPr="00DE09E6">
        <w:rPr>
          <w:rFonts w:ascii="標楷體" w:eastAsia="標楷體" w:hAnsi="標楷體" w:hint="eastAsia"/>
          <w:b/>
          <w:sz w:val="28"/>
          <w:szCs w:val="28"/>
        </w:rPr>
        <w:t>半年</w:t>
      </w:r>
      <w:r w:rsidR="009C5010" w:rsidRPr="00DE09E6">
        <w:rPr>
          <w:rFonts w:ascii="標楷體" w:eastAsia="標楷體" w:hAnsi="標楷體" w:hint="eastAsia"/>
          <w:b/>
          <w:sz w:val="28"/>
          <w:szCs w:val="28"/>
        </w:rPr>
        <w:t>）</w:t>
      </w:r>
      <w:r w:rsidR="00733FB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7A7C74" w:rsidRPr="00DE09E6" w:rsidRDefault="007A7C74" w:rsidP="000E2D78">
      <w:pPr>
        <w:spacing w:line="460" w:lineRule="exact"/>
        <w:ind w:left="1410" w:hanging="284"/>
        <w:jc w:val="center"/>
        <w:rPr>
          <w:rFonts w:ascii="標楷體" w:eastAsia="標楷體" w:hAnsi="標楷體"/>
          <w:b/>
          <w:sz w:val="28"/>
          <w:szCs w:val="28"/>
        </w:rPr>
      </w:pPr>
      <w:r w:rsidRPr="00DE09E6">
        <w:rPr>
          <w:rFonts w:ascii="標楷體" w:eastAsia="標楷體" w:hAnsi="標楷體" w:hint="eastAsia"/>
          <w:b/>
          <w:sz w:val="28"/>
          <w:szCs w:val="28"/>
        </w:rPr>
        <w:t>金融機構類別：銀行</w:t>
      </w:r>
      <w:r w:rsidR="00141F7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76D42" w:rsidRPr="00DE09E6" w:rsidTr="00C47397">
        <w:trPr>
          <w:trHeight w:val="1382"/>
        </w:trPr>
        <w:tc>
          <w:tcPr>
            <w:tcW w:w="8372" w:type="dxa"/>
          </w:tcPr>
          <w:p w:rsidR="005442F0" w:rsidRDefault="005442F0" w:rsidP="00C47397">
            <w:pPr>
              <w:spacing w:line="460" w:lineRule="exact"/>
              <w:ind w:left="1126" w:hanging="1126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09E6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Pr="00DE09E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 w:rsidRPr="00DE09E6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投資國外債券，</w:t>
            </w:r>
            <w:r w:rsidR="007423F9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proofErr w:type="gramStart"/>
            <w:r w:rsidR="007423F9">
              <w:rPr>
                <w:rFonts w:ascii="標楷體" w:eastAsia="標楷體" w:hAnsi="標楷體" w:hint="eastAsia"/>
                <w:b/>
                <w:sz w:val="28"/>
                <w:szCs w:val="28"/>
              </w:rPr>
              <w:t>多項</w:t>
            </w:r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其原始</w:t>
            </w:r>
            <w:proofErr w:type="gramEnd"/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投資金額占該行核算基數之比率，超逾</w:t>
            </w:r>
            <w:r w:rsidR="009E405D">
              <w:rPr>
                <w:rFonts w:ascii="標楷體" w:eastAsia="標楷體" w:hAnsi="標楷體" w:hint="eastAsia"/>
                <w:b/>
                <w:sz w:val="28"/>
                <w:szCs w:val="28"/>
              </w:rPr>
              <w:t>該</w:t>
            </w:r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行「投資債券及票券業</w:t>
            </w:r>
            <w:proofErr w:type="gramStart"/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="00C47397" w:rsidRPr="00C47397">
              <w:rPr>
                <w:rFonts w:ascii="標楷體" w:eastAsia="標楷體" w:hAnsi="標楷體" w:hint="eastAsia"/>
                <w:b/>
                <w:sz w:val="28"/>
                <w:szCs w:val="28"/>
              </w:rPr>
              <w:t>處理辦法」規定之上限比率。</w:t>
            </w:r>
          </w:p>
          <w:p w:rsidR="00C47397" w:rsidRPr="00DE09E6" w:rsidRDefault="00C47397" w:rsidP="00C47397">
            <w:pPr>
              <w:spacing w:line="460" w:lineRule="exact"/>
              <w:ind w:left="1126" w:hanging="1126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E67EB" w:rsidRPr="00DE09E6" w:rsidRDefault="004E67EB" w:rsidP="00431CC5">
      <w:pPr>
        <w:spacing w:line="460" w:lineRule="exact"/>
        <w:ind w:left="1276" w:hanging="1276"/>
        <w:rPr>
          <w:rFonts w:ascii="標楷體" w:eastAsia="標楷體" w:hAnsi="標楷體" w:cs="Times New Roman"/>
          <w:b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4E67EB" w:rsidRPr="00DE09E6" w:rsidRDefault="004E67EB" w:rsidP="00B272DE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1.依</w:t>
      </w:r>
      <w:r w:rsidR="009E405D">
        <w:rPr>
          <w:rFonts w:ascii="標楷體" w:eastAsia="標楷體" w:hAnsi="標楷體" w:cs="Times New Roman" w:hint="eastAsia"/>
          <w:spacing w:val="-14"/>
          <w:sz w:val="28"/>
          <w:szCs w:val="28"/>
        </w:rPr>
        <w:t>內部</w:t>
      </w:r>
      <w:r w:rsidR="009E405D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規定</w:t>
      </w:r>
      <w:r w:rsidR="007423F9">
        <w:rPr>
          <w:rFonts w:ascii="標楷體" w:eastAsia="標楷體" w:hAnsi="標楷體" w:cs="Times New Roman" w:hint="eastAsia"/>
          <w:spacing w:val="-14"/>
          <w:sz w:val="28"/>
          <w:szCs w:val="28"/>
        </w:rPr>
        <w:t>上限</w:t>
      </w:r>
      <w:r w:rsidR="00C47397">
        <w:rPr>
          <w:rFonts w:ascii="標楷體" w:eastAsia="標楷體" w:hAnsi="標楷體" w:cs="Times New Roman" w:hint="eastAsia"/>
          <w:spacing w:val="-14"/>
          <w:sz w:val="28"/>
          <w:szCs w:val="28"/>
        </w:rPr>
        <w:t>辦理</w:t>
      </w: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並落實複核機制。</w:t>
      </w:r>
    </w:p>
    <w:p w:rsidR="004E67EB" w:rsidRPr="00DE09E6" w:rsidRDefault="00C47397" w:rsidP="00B272DE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>
        <w:rPr>
          <w:rFonts w:ascii="標楷體" w:eastAsia="標楷體" w:hAnsi="標楷體" w:cs="Times New Roman" w:hint="eastAsia"/>
          <w:spacing w:val="-14"/>
          <w:sz w:val="28"/>
          <w:szCs w:val="28"/>
        </w:rPr>
        <w:t>2</w:t>
      </w:r>
      <w:r w:rsidR="004E67E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.內部稽核將</w:t>
      </w:r>
      <w:r w:rsidR="009E405D" w:rsidRPr="009E405D">
        <w:rPr>
          <w:rFonts w:ascii="標楷體" w:eastAsia="標楷體" w:hAnsi="標楷體" w:hint="eastAsia"/>
          <w:sz w:val="28"/>
          <w:szCs w:val="28"/>
        </w:rPr>
        <w:t>業務處理辦法規定之上限比率</w:t>
      </w:r>
      <w:r w:rsidR="004E67EB" w:rsidRPr="009E405D">
        <w:rPr>
          <w:rFonts w:ascii="標楷體" w:eastAsia="標楷體" w:hAnsi="標楷體" w:cs="Times New Roman" w:hint="eastAsia"/>
          <w:spacing w:val="-14"/>
          <w:sz w:val="28"/>
          <w:szCs w:val="28"/>
        </w:rPr>
        <w:t>列為</w:t>
      </w:r>
      <w:r w:rsidR="004E67E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查核重點。</w:t>
      </w:r>
    </w:p>
    <w:p w:rsidR="00431CC5" w:rsidRPr="00A5625A" w:rsidRDefault="00431CC5" w:rsidP="009C5010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431CC5" w:rsidRPr="00DE09E6" w:rsidTr="00587B88">
        <w:trPr>
          <w:trHeight w:val="2214"/>
        </w:trPr>
        <w:tc>
          <w:tcPr>
            <w:tcW w:w="8372" w:type="dxa"/>
          </w:tcPr>
          <w:p w:rsidR="00431CC5" w:rsidRPr="00983846" w:rsidRDefault="009C5010" w:rsidP="00164AC5">
            <w:pPr>
              <w:spacing w:line="460" w:lineRule="exact"/>
              <w:ind w:leftChars="1" w:left="1835" w:hangingChars="654" w:hanging="183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態樣二：</w:t>
            </w:r>
            <w:r w:rsidR="00431CC5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資本適足率</w:t>
            </w:r>
            <w:r w:rsidR="00777655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申報有</w:t>
            </w:r>
            <w:r w:rsidR="00431CC5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誤</w:t>
            </w:r>
            <w:r w:rsidR="00777655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差</w:t>
            </w:r>
            <w:r w:rsidR="0074510C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FC37B1" w:rsidRPr="00543CAA" w:rsidRDefault="009D20E7" w:rsidP="00983846">
            <w:pPr>
              <w:spacing w:line="460" w:lineRule="exact"/>
              <w:ind w:leftChars="528" w:left="1833" w:hangingChars="202" w:hanging="56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1.</w:t>
            </w:r>
            <w:r w:rsidR="00892660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表內交易之信用風險加權風險性資產中，</w:t>
            </w:r>
            <w:r w:rsidR="00DA465B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</w:t>
            </w:r>
            <w:r w:rsidR="00892660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暴險類型之主權國家債權、住宅用不動產等誤適用風險權數。</w:t>
            </w:r>
            <w:r w:rsidR="00CF0D72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543CAA" w:rsidRPr="00543CAA" w:rsidRDefault="00543CAA" w:rsidP="00983846">
            <w:pPr>
              <w:spacing w:line="460" w:lineRule="exact"/>
              <w:ind w:leftChars="528" w:left="1833" w:hangingChars="202" w:hanging="56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2.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帳列未用約定融資額度，</w:t>
            </w:r>
            <w:r w:rsidR="007423F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有未依規定適用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轉換係數計算其風險性資產額。</w:t>
            </w:r>
          </w:p>
          <w:p w:rsidR="006B60F6" w:rsidRPr="00983846" w:rsidRDefault="00543CAA" w:rsidP="00983846">
            <w:pPr>
              <w:spacing w:line="460" w:lineRule="exact"/>
              <w:ind w:leftChars="528" w:left="1833" w:hangingChars="202" w:hanging="56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3.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投資美國</w:t>
            </w:r>
            <w:r w:rsidR="006B60F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聯邦住房抵押貸款公司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="006B60F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Freddie Mac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）及聯邦國民抵押貸款協會（</w:t>
            </w:r>
            <w:proofErr w:type="spellStart"/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Ginnie</w:t>
            </w:r>
            <w:proofErr w:type="spellEnd"/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Mae）再證券化債券</w:t>
            </w:r>
            <w:r w:rsidR="006B60F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，</w:t>
            </w:r>
            <w:r w:rsidR="00835934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未列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證券化風險</w:t>
            </w:r>
            <w:r w:rsidR="006B60F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，</w:t>
            </w:r>
            <w:r w:rsidR="00835934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致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信用風險加權風險性資產總額</w:t>
            </w:r>
            <w:r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少列</w:t>
            </w:r>
            <w:r w:rsidR="006B60F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6B60F6" w:rsidRPr="00543CAA" w:rsidRDefault="00543CAA" w:rsidP="00983846">
            <w:pPr>
              <w:spacing w:line="460" w:lineRule="exact"/>
              <w:ind w:leftChars="528" w:left="1833" w:hangingChars="202" w:hanging="56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4.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交易對手信用風險加權風險性資產額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申報數</w:t>
            </w: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列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:rsidR="006B60F6" w:rsidRPr="00543CAA" w:rsidRDefault="00543CAA" w:rsidP="00983846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(1)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「附賣回票債券投資」及「附買回票債券負債」因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風險抵減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法定折扣比率及計算「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追繳保證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金或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重新評價</w:t>
            </w:r>
            <w:proofErr w:type="gramStart"/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期間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N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R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」錯誤等因素，致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風險性</w:t>
            </w:r>
            <w:proofErr w:type="gramStart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資產額</w:t>
            </w: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列</w:t>
            </w:r>
            <w:proofErr w:type="gramEnd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。</w:t>
            </w:r>
          </w:p>
          <w:p w:rsidR="00543CAA" w:rsidRDefault="00543CAA" w:rsidP="00983846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(2)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有價證券融資交易，因未計算「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追繳保證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金或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重新評價</w:t>
            </w:r>
            <w:proofErr w:type="gramStart"/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期間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N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R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)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」及擔保品與</w:t>
            </w:r>
            <w:proofErr w:type="gramStart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暴險額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幣</w:t>
            </w:r>
            <w:proofErr w:type="gramEnd"/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別不對稱之折扣比率調整等因素，致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風險抵減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後</w:t>
            </w:r>
            <w:proofErr w:type="gramStart"/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暴險額</w:t>
            </w: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</w:t>
            </w:r>
            <w:proofErr w:type="gramEnd"/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列</w:t>
            </w:r>
            <w:r w:rsidR="007051F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983846" w:rsidRDefault="00983846" w:rsidP="00983846">
            <w:pPr>
              <w:spacing w:line="460" w:lineRule="exact"/>
              <w:ind w:leftChars="587" w:left="1835" w:hangingChars="152" w:hanging="42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(3)有價證劵融資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對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授信期間逾三個月以上，</w:t>
            </w:r>
            <w:r w:rsidR="00201F1A" w:rsidRPr="00201F1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均以短期債權風險權數(20%)計提加權風險性資產，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未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交易對手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用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評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等之</w:t>
            </w:r>
            <w:r w:rsidR="007051FD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風險權數計算，致</w:t>
            </w:r>
            <w:r w:rsidR="007051FD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風險性資產額</w:t>
            </w: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</w:t>
            </w:r>
            <w:r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列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6B60F6" w:rsidRPr="00983846" w:rsidRDefault="007423F9" w:rsidP="00983846">
            <w:pPr>
              <w:spacing w:line="460" w:lineRule="exact"/>
              <w:ind w:leftChars="527" w:left="1548" w:hangingChars="101" w:hanging="28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5</w:t>
            </w:r>
            <w:r w:rsid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.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對店頭市場(OTC)衍生性商品信用評價調整風險(CVA)之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信用風險加權</w:t>
            </w:r>
            <w:r w:rsidR="006B60F6" w:rsidRPr="00543CAA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風險性資產</w:t>
            </w:r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額，</w:t>
            </w:r>
            <w:proofErr w:type="gramStart"/>
            <w:r w:rsidR="006B60F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因</w:t>
            </w:r>
            <w:r w:rsidR="00983846" w:rsidRPr="00983846">
              <w:rPr>
                <w:rFonts w:ascii="標楷體" w:eastAsia="標楷體" w:hAnsi="標楷體" w:hint="eastAsia"/>
                <w:b/>
                <w:sz w:val="28"/>
              </w:rPr>
              <w:t>淨違約暴險</w:t>
            </w:r>
            <w:proofErr w:type="gramEnd"/>
            <w:r w:rsidR="00983846" w:rsidRPr="00983846">
              <w:rPr>
                <w:rFonts w:ascii="標楷體" w:eastAsia="標楷體" w:hAnsi="標楷體" w:hint="eastAsia"/>
                <w:b/>
                <w:sz w:val="28"/>
              </w:rPr>
              <w:t>公式適用錯誤，未將M及EAD以平方計算</w:t>
            </w:r>
            <w:r w:rsidR="00983846">
              <w:rPr>
                <w:rFonts w:ascii="標楷體" w:eastAsia="標楷體" w:hAnsi="標楷體" w:hint="eastAsia"/>
                <w:b/>
                <w:sz w:val="28"/>
              </w:rPr>
              <w:t>，</w:t>
            </w:r>
            <w:r w:rsidR="00983846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致</w:t>
            </w:r>
            <w:r w:rsidR="0098384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風險性</w:t>
            </w:r>
            <w:proofErr w:type="gramStart"/>
            <w:r w:rsidR="00983846" w:rsidRPr="00983846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資產額</w:t>
            </w:r>
            <w:r w:rsidR="00983846" w:rsidRPr="00543CA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少列</w:t>
            </w:r>
            <w:proofErr w:type="gramEnd"/>
            <w:r w:rsid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。</w:t>
            </w:r>
          </w:p>
          <w:p w:rsidR="00543CAA" w:rsidRPr="00983846" w:rsidRDefault="007423F9" w:rsidP="00983846">
            <w:pPr>
              <w:spacing w:line="460" w:lineRule="exact"/>
              <w:ind w:leftChars="527" w:left="1548" w:hangingChars="101" w:hanging="283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="00543CAA" w:rsidRPr="00983846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.「其他非利息淨收益」漏未列入備供出售金融資產股息紅利收入，作業風險性資產少列。</w:t>
            </w:r>
          </w:p>
          <w:p w:rsidR="005C6214" w:rsidRPr="00983846" w:rsidRDefault="005C6214" w:rsidP="00983846">
            <w:pPr>
              <w:spacing w:line="460" w:lineRule="exact"/>
              <w:ind w:leftChars="528" w:left="1833" w:hangingChars="202" w:hanging="566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31CC5" w:rsidRPr="00DE09E6" w:rsidRDefault="00431CC5" w:rsidP="00431CC5">
      <w:pPr>
        <w:spacing w:line="460" w:lineRule="exact"/>
        <w:ind w:left="1276" w:hanging="1276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lastRenderedPageBreak/>
        <w:t>改善作法：</w:t>
      </w:r>
    </w:p>
    <w:p w:rsidR="004E67EB" w:rsidRPr="00DE09E6" w:rsidRDefault="004E67EB" w:rsidP="00B272DE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1.參考法規：</w:t>
      </w:r>
    </w:p>
    <w:p w:rsidR="004E67EB" w:rsidRPr="00DE09E6" w:rsidRDefault="004E67EB" w:rsidP="00B272DE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/>
          <w:spacing w:val="-14"/>
          <w:sz w:val="28"/>
          <w:szCs w:val="28"/>
        </w:rPr>
        <w:t>（</w:t>
      </w: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1</w:t>
      </w:r>
      <w:r w:rsidRPr="00DE09E6">
        <w:rPr>
          <w:rFonts w:ascii="標楷體" w:eastAsia="標楷體" w:hAnsi="標楷體" w:cs="Times New Roman"/>
          <w:spacing w:val="-14"/>
          <w:sz w:val="28"/>
          <w:szCs w:val="28"/>
        </w:rPr>
        <w:t>）銀行自有資本與風險性資產之計算方法說明及表格</w:t>
      </w: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EA14FE" w:rsidRPr="00DE09E6" w:rsidRDefault="004E67EB" w:rsidP="00DF227C">
      <w:pPr>
        <w:spacing w:line="460" w:lineRule="exact"/>
        <w:ind w:left="993" w:hanging="709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/>
          <w:spacing w:val="-14"/>
          <w:sz w:val="28"/>
          <w:szCs w:val="28"/>
        </w:rPr>
        <w:t>（</w:t>
      </w: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2</w:t>
      </w:r>
      <w:r w:rsidRPr="00DE09E6">
        <w:rPr>
          <w:rFonts w:ascii="標楷體" w:eastAsia="標楷體" w:hAnsi="標楷體" w:cs="Times New Roman"/>
          <w:spacing w:val="-14"/>
          <w:sz w:val="28"/>
          <w:szCs w:val="28"/>
        </w:rPr>
        <w:t>）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有關自</w:t>
      </w:r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用住宅貸款適用45％風險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權數，請</w:t>
      </w:r>
      <w:r w:rsidR="00FB4DF7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依</w:t>
      </w:r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金融監督管理委員會103.9.22金</w:t>
      </w:r>
      <w:proofErr w:type="gramStart"/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管銀法字</w:t>
      </w:r>
      <w:proofErr w:type="gramEnd"/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第10310004912號函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修正</w:t>
      </w:r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「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金管會為控管銀行</w:t>
      </w:r>
      <w:proofErr w:type="gramStart"/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承作</w:t>
      </w:r>
      <w:proofErr w:type="gramEnd"/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不動產貸款風險所</w:t>
      </w:r>
      <w:proofErr w:type="gramStart"/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採</w:t>
      </w:r>
      <w:proofErr w:type="gramEnd"/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行措施之問與答</w:t>
      </w:r>
      <w:r w:rsidR="0046084B" w:rsidRPr="00DE09E6">
        <w:rPr>
          <w:rFonts w:ascii="標楷體" w:eastAsia="標楷體" w:hAnsi="標楷體" w:cs="Times New Roman"/>
          <w:spacing w:val="-14"/>
          <w:sz w:val="28"/>
          <w:szCs w:val="28"/>
        </w:rPr>
        <w:t>」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之規定</w:t>
      </w:r>
      <w:r w:rsidR="00FB4DF7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辦理</w:t>
      </w:r>
      <w:r w:rsidR="0046084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。</w:t>
      </w:r>
    </w:p>
    <w:p w:rsidR="006F7003" w:rsidRPr="00DE09E6" w:rsidRDefault="004E67EB" w:rsidP="006F700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2.</w:t>
      </w:r>
      <w:r w:rsidR="006F7003" w:rsidRPr="00DE09E6">
        <w:rPr>
          <w:rFonts w:ascii="標楷體" w:eastAsia="標楷體" w:hAnsi="標楷體" w:hint="eastAsia"/>
          <w:sz w:val="28"/>
          <w:szCs w:val="28"/>
        </w:rPr>
        <w:t>訂定計算資本適足率作業程序。</w:t>
      </w:r>
    </w:p>
    <w:p w:rsidR="006F7003" w:rsidRPr="00DE09E6" w:rsidRDefault="006F7003" w:rsidP="006F7003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3.正確建檔並依規定填報及落實複核機制。</w:t>
      </w:r>
    </w:p>
    <w:p w:rsidR="004E67EB" w:rsidRPr="00DE09E6" w:rsidRDefault="006F7003" w:rsidP="00B272DE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4</w:t>
      </w:r>
      <w:r w:rsidR="004E67EB" w:rsidRPr="00DE09E6">
        <w:rPr>
          <w:rFonts w:ascii="標楷體" w:eastAsia="標楷體" w:hAnsi="標楷體" w:cs="Times New Roman" w:hint="eastAsia"/>
          <w:spacing w:val="-14"/>
          <w:sz w:val="28"/>
          <w:szCs w:val="28"/>
        </w:rPr>
        <w:t>.內部稽核將申報資料正確性列為查核重點。</w:t>
      </w:r>
    </w:p>
    <w:p w:rsidR="00CF0D72" w:rsidRDefault="00CF0D72" w:rsidP="003A3DE9">
      <w:pPr>
        <w:spacing w:line="460" w:lineRule="exact"/>
        <w:ind w:left="1276" w:hanging="1276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</w:p>
    <w:tbl>
      <w:tblPr>
        <w:tblStyle w:val="a8"/>
        <w:tblW w:w="0" w:type="auto"/>
        <w:tblInd w:w="150" w:type="dxa"/>
        <w:tblBorders>
          <w:top w:val="thinThickThinSmallGap" w:sz="24" w:space="0" w:color="0070C0"/>
          <w:left w:val="thinThickThinSmallGap" w:sz="24" w:space="0" w:color="0070C0"/>
          <w:bottom w:val="thinThickThinSmallGap" w:sz="24" w:space="0" w:color="0070C0"/>
          <w:right w:val="thinThickThinSmallGap" w:sz="24" w:space="0" w:color="0070C0"/>
          <w:insideH w:val="thinThickThinSmallGap" w:sz="24" w:space="0" w:color="0070C0"/>
          <w:insideV w:val="thinThickThinSmallGap" w:sz="24" w:space="0" w:color="0070C0"/>
        </w:tblBorders>
        <w:tblLook w:val="04A0"/>
      </w:tblPr>
      <w:tblGrid>
        <w:gridCol w:w="8372"/>
      </w:tblGrid>
      <w:tr w:rsidR="00CF0D72" w:rsidRPr="00810BD0" w:rsidTr="00543CAA">
        <w:trPr>
          <w:trHeight w:val="1156"/>
        </w:trPr>
        <w:tc>
          <w:tcPr>
            <w:tcW w:w="8372" w:type="dxa"/>
          </w:tcPr>
          <w:p w:rsidR="00CF0D72" w:rsidRPr="00BF30A9" w:rsidRDefault="00CF0D72" w:rsidP="00F0464C">
            <w:pPr>
              <w:spacing w:line="460" w:lineRule="exact"/>
              <w:ind w:left="1693" w:hanging="1693"/>
              <w:jc w:val="lef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C5C74">
              <w:rPr>
                <w:rFonts w:ascii="標楷體" w:eastAsia="標楷體" w:hAnsi="標楷體" w:hint="eastAsia"/>
                <w:b/>
                <w:sz w:val="28"/>
                <w:szCs w:val="28"/>
              </w:rPr>
              <w:t>態樣</w:t>
            </w:r>
            <w:proofErr w:type="gramStart"/>
            <w:r w:rsidR="00543CAA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BF30A9">
              <w:rPr>
                <w:rFonts w:ascii="標楷體" w:eastAsia="標楷體" w:hAnsi="標楷體" w:hint="eastAsia"/>
                <w:b/>
                <w:sz w:val="28"/>
                <w:szCs w:val="28"/>
              </w:rPr>
              <w:t>建築貸款</w:t>
            </w:r>
            <w:r w:rsidRPr="00185EF7">
              <w:rPr>
                <w:rFonts w:ascii="標楷體" w:eastAsia="標楷體" w:hAnsi="標楷體" w:hint="eastAsia"/>
                <w:b/>
                <w:sz w:val="28"/>
                <w:szCs w:val="28"/>
              </w:rPr>
              <w:t>申報錯誤</w:t>
            </w:r>
            <w:r w:rsidRPr="00431CC5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  <w:p w:rsidR="00983846" w:rsidRPr="00983846" w:rsidRDefault="00CF0D72" w:rsidP="00983846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846">
              <w:rPr>
                <w:rFonts w:ascii="標楷體" w:eastAsia="標楷體" w:hAnsi="標楷體" w:hint="eastAsia"/>
                <w:b/>
                <w:sz w:val="28"/>
                <w:szCs w:val="28"/>
              </w:rPr>
              <w:t>對房屋興建投資為主要業務之企業所辦理</w:t>
            </w:r>
            <w:r w:rsidR="00983846" w:rsidRPr="00983846">
              <w:rPr>
                <w:rFonts w:ascii="標楷體" w:eastAsia="標楷體" w:hAnsi="標楷體" w:hint="eastAsia"/>
                <w:b/>
                <w:sz w:val="28"/>
                <w:szCs w:val="28"/>
              </w:rPr>
              <w:t>之購地或週轉金貸款</w:t>
            </w:r>
            <w:r w:rsidR="004141DE">
              <w:rPr>
                <w:rFonts w:ascii="標楷體" w:eastAsia="標楷體" w:hAnsi="標楷體" w:hint="eastAsia"/>
                <w:b/>
                <w:sz w:val="28"/>
                <w:szCs w:val="28"/>
              </w:rPr>
              <w:t>，</w:t>
            </w:r>
            <w:r w:rsidR="004141DE" w:rsidRPr="00983846">
              <w:rPr>
                <w:rFonts w:ascii="標楷體" w:eastAsia="標楷體" w:hAnsi="標楷體" w:hint="eastAsia"/>
                <w:b/>
                <w:sz w:val="28"/>
                <w:szCs w:val="28"/>
              </w:rPr>
              <w:t>未列入申報</w:t>
            </w:r>
            <w:r w:rsidR="00983846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CF0D72" w:rsidRPr="00983846" w:rsidRDefault="00CF0D72" w:rsidP="00983846">
            <w:pPr>
              <w:pStyle w:val="a3"/>
              <w:numPr>
                <w:ilvl w:val="0"/>
                <w:numId w:val="3"/>
              </w:numPr>
              <w:spacing w:line="460" w:lineRule="exact"/>
              <w:ind w:leftChars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83846">
              <w:rPr>
                <w:rFonts w:ascii="標楷體" w:eastAsia="標楷體" w:hAnsi="標楷體" w:hint="eastAsia"/>
                <w:b/>
                <w:sz w:val="28"/>
                <w:szCs w:val="28"/>
              </w:rPr>
              <w:t>從事建築投資之個人所辦理之購地貸款餘額，未列入申報。</w:t>
            </w:r>
          </w:p>
          <w:p w:rsidR="00CF0D72" w:rsidRPr="00431CC5" w:rsidRDefault="00CF0D72" w:rsidP="00F0464C">
            <w:pPr>
              <w:spacing w:line="460" w:lineRule="exact"/>
              <w:ind w:left="1362" w:hanging="236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F0D72" w:rsidRPr="00652673" w:rsidRDefault="00CF0D72" w:rsidP="00CF0D72">
      <w:pPr>
        <w:spacing w:line="460" w:lineRule="exact"/>
        <w:ind w:left="1276" w:hanging="1134"/>
        <w:rPr>
          <w:rFonts w:ascii="標楷體" w:eastAsia="標楷體" w:hAnsi="標楷體" w:cs="Times New Roman"/>
          <w:spacing w:val="-14"/>
          <w:sz w:val="28"/>
          <w:szCs w:val="28"/>
        </w:rPr>
      </w:pPr>
      <w:r w:rsidRPr="00652673">
        <w:rPr>
          <w:rFonts w:ascii="標楷體" w:eastAsia="標楷體" w:hAnsi="標楷體" w:cs="Times New Roman" w:hint="eastAsia"/>
          <w:b/>
          <w:spacing w:val="-14"/>
          <w:sz w:val="28"/>
          <w:szCs w:val="28"/>
        </w:rPr>
        <w:t>改善作法：</w:t>
      </w:r>
    </w:p>
    <w:p w:rsidR="00F0464C" w:rsidRPr="00B359E5" w:rsidRDefault="00CF0D72" w:rsidP="00B359E5">
      <w:pPr>
        <w:spacing w:line="460" w:lineRule="exact"/>
        <w:ind w:left="426" w:hanging="284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B359E5">
        <w:rPr>
          <w:rFonts w:ascii="標楷體" w:eastAsia="標楷體" w:hAnsi="標楷體" w:cs="Times New Roman" w:hint="eastAsia"/>
          <w:spacing w:val="-14"/>
          <w:sz w:val="28"/>
          <w:szCs w:val="28"/>
        </w:rPr>
        <w:t>1.</w:t>
      </w:r>
      <w:r w:rsidR="00B359E5" w:rsidRPr="00B359E5">
        <w:rPr>
          <w:rFonts w:ascii="標楷體" w:eastAsia="標楷體" w:hAnsi="標楷體" w:hint="eastAsia"/>
          <w:sz w:val="28"/>
          <w:szCs w:val="28"/>
        </w:rPr>
        <w:t>加強控管分散授信風險，並密切注意不動產景氣行情變化對其授信品質之影響。</w:t>
      </w:r>
    </w:p>
    <w:p w:rsidR="00CF0D72" w:rsidRPr="00431CC5" w:rsidRDefault="00F0464C" w:rsidP="00CF0D72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>
        <w:rPr>
          <w:rFonts w:ascii="標楷體" w:eastAsia="標楷體" w:hAnsi="標楷體" w:cs="Times New Roman" w:hint="eastAsia"/>
          <w:spacing w:val="-14"/>
          <w:sz w:val="28"/>
          <w:szCs w:val="28"/>
        </w:rPr>
        <w:t>2.</w:t>
      </w:r>
      <w:r w:rsidR="00CF0D72"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參考法規：單一申報窗口AI395授信業務申報資料表</w:t>
      </w:r>
      <w:r w:rsidR="00CF0D72" w:rsidRPr="00431CC5">
        <w:rPr>
          <w:rFonts w:ascii="標楷體" w:eastAsia="標楷體" w:hAnsi="標楷體" w:cs="Times New Roman"/>
          <w:spacing w:val="-14"/>
          <w:sz w:val="28"/>
          <w:szCs w:val="28"/>
        </w:rPr>
        <w:t>定義說明</w:t>
      </w:r>
      <w:r w:rsidR="00CF0D72"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：</w:t>
      </w:r>
    </w:p>
    <w:p w:rsidR="00CF0D72" w:rsidRPr="00431CC5" w:rsidRDefault="00CF0D72" w:rsidP="00CF0D72">
      <w:pPr>
        <w:spacing w:line="460" w:lineRule="exact"/>
        <w:ind w:left="993" w:hanging="567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（1）對建築業貸款，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係指對以房屋興建投資為主要業務之企業承做之購地、興建房屋及週轉金貸款</w:t>
      </w: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，但房屋興建屬自用部分則不包含之。</w:t>
      </w:r>
    </w:p>
    <w:p w:rsidR="00CF0D72" w:rsidRPr="00805408" w:rsidRDefault="00CF0D72" w:rsidP="00CF0D72">
      <w:pPr>
        <w:spacing w:line="460" w:lineRule="exact"/>
        <w:ind w:left="993" w:hanging="567"/>
        <w:jc w:val="both"/>
        <w:rPr>
          <w:rFonts w:ascii="標楷體" w:eastAsia="標楷體" w:hAnsi="標楷體"/>
          <w:spacing w:val="-10"/>
          <w:sz w:val="28"/>
          <w:szCs w:val="28"/>
        </w:rPr>
      </w:pP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lastRenderedPageBreak/>
        <w:t>（2）對其他企業建築貸款，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係指對建築業以外之企業所辦</w:t>
      </w:r>
      <w:r w:rsidRPr="00805408">
        <w:rPr>
          <w:rFonts w:ascii="標楷體" w:eastAsia="標楷體" w:hAnsi="標楷體"/>
          <w:spacing w:val="-10"/>
          <w:sz w:val="28"/>
          <w:szCs w:val="28"/>
        </w:rPr>
        <w:t>理之購地</w:t>
      </w:r>
      <w:r w:rsidRPr="00805408">
        <w:rPr>
          <w:rFonts w:ascii="標楷體" w:eastAsia="標楷體" w:hAnsi="標楷體" w:hint="eastAsia"/>
          <w:spacing w:val="-10"/>
          <w:sz w:val="28"/>
          <w:szCs w:val="28"/>
        </w:rPr>
        <w:t>、</w:t>
      </w:r>
      <w:r w:rsidRPr="00805408">
        <w:rPr>
          <w:rFonts w:ascii="標楷體" w:eastAsia="標楷體" w:hAnsi="標楷體"/>
          <w:spacing w:val="-10"/>
          <w:sz w:val="28"/>
          <w:szCs w:val="28"/>
        </w:rPr>
        <w:t>興建</w:t>
      </w:r>
      <w:r w:rsidRPr="004406D4">
        <w:rPr>
          <w:rFonts w:ascii="標楷體" w:eastAsia="標楷體" w:hAnsi="標楷體"/>
          <w:spacing w:val="-10"/>
          <w:sz w:val="28"/>
          <w:szCs w:val="28"/>
        </w:rPr>
        <w:t>房屋貸款</w:t>
      </w:r>
      <w:r w:rsidRPr="004406D4">
        <w:rPr>
          <w:rFonts w:ascii="標楷體" w:eastAsia="標楷體" w:hAnsi="標楷體" w:hint="eastAsia"/>
          <w:spacing w:val="-10"/>
          <w:sz w:val="28"/>
          <w:szCs w:val="28"/>
        </w:rPr>
        <w:t>及週轉金貸款，但房屋興建屬自用部分則不包含之。</w:t>
      </w:r>
    </w:p>
    <w:p w:rsidR="00CF0D72" w:rsidRPr="00431CC5" w:rsidRDefault="00CF0D72" w:rsidP="00CF0D72">
      <w:pPr>
        <w:spacing w:line="460" w:lineRule="exact"/>
        <w:ind w:left="993" w:hanging="567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（3）對個人戶建築貸款，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係指對從事建築投資之個人所辦理之購地</w:t>
      </w: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、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興建房屋貸款</w:t>
      </w: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及週轉金貸款，但房屋興建屬自用部分則不包含之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。</w:t>
      </w:r>
    </w:p>
    <w:p w:rsidR="00CF0D72" w:rsidRPr="00431CC5" w:rsidRDefault="00CF0D72" w:rsidP="00CF0D72">
      <w:pPr>
        <w:spacing w:line="460" w:lineRule="exact"/>
        <w:ind w:left="993" w:hanging="567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（4）另含其他</w:t>
      </w:r>
      <w:r w:rsidRPr="00431CC5">
        <w:rPr>
          <w:rFonts w:ascii="標楷體" w:eastAsia="標楷體" w:hAnsi="標楷體" w:cs="Times New Roman"/>
          <w:spacing w:val="-14"/>
          <w:sz w:val="28"/>
          <w:szCs w:val="28"/>
        </w:rPr>
        <w:t>建築貸款</w:t>
      </w:r>
      <w:r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（房屋興建屬自用部分）餘額。</w:t>
      </w:r>
    </w:p>
    <w:p w:rsidR="00CF0D72" w:rsidRPr="00431CC5" w:rsidRDefault="00F0464C" w:rsidP="00CF0D72">
      <w:pPr>
        <w:spacing w:line="460" w:lineRule="exact"/>
        <w:ind w:left="1276" w:hanging="1134"/>
        <w:jc w:val="both"/>
        <w:rPr>
          <w:rFonts w:ascii="標楷體" w:eastAsia="標楷體" w:hAnsi="標楷體" w:cs="Times New Roman"/>
          <w:spacing w:val="-14"/>
          <w:sz w:val="28"/>
          <w:szCs w:val="28"/>
        </w:rPr>
      </w:pPr>
      <w:r>
        <w:rPr>
          <w:rFonts w:ascii="標楷體" w:eastAsia="標楷體" w:hAnsi="標楷體" w:cs="Times New Roman" w:hint="eastAsia"/>
          <w:spacing w:val="-14"/>
          <w:sz w:val="28"/>
          <w:szCs w:val="28"/>
        </w:rPr>
        <w:t>3</w:t>
      </w:r>
      <w:r w:rsidR="00CF0D72"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.正確建檔並依規定填報並落實複核機制。</w:t>
      </w:r>
    </w:p>
    <w:p w:rsidR="00CF0D72" w:rsidRPr="00DE09E6" w:rsidRDefault="00F0464C" w:rsidP="00CF0D72">
      <w:pPr>
        <w:spacing w:line="460" w:lineRule="exact"/>
        <w:ind w:left="1276" w:hanging="113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spacing w:val="-14"/>
          <w:sz w:val="28"/>
          <w:szCs w:val="28"/>
        </w:rPr>
        <w:t>4</w:t>
      </w:r>
      <w:r w:rsidR="00CF0D72" w:rsidRPr="00431CC5">
        <w:rPr>
          <w:rFonts w:ascii="標楷體" w:eastAsia="標楷體" w:hAnsi="標楷體" w:cs="Times New Roman" w:hint="eastAsia"/>
          <w:spacing w:val="-14"/>
          <w:sz w:val="28"/>
          <w:szCs w:val="28"/>
        </w:rPr>
        <w:t>.內部稽核將申報資料正確性列為查核重點。</w:t>
      </w:r>
    </w:p>
    <w:sectPr w:rsidR="00CF0D72" w:rsidRPr="00DE09E6" w:rsidSect="000B724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46" w:rsidRDefault="00983846" w:rsidP="00A42FFF">
      <w:r>
        <w:separator/>
      </w:r>
    </w:p>
  </w:endnote>
  <w:endnote w:type="continuationSeparator" w:id="0">
    <w:p w:rsidR="00983846" w:rsidRDefault="00983846" w:rsidP="00A42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8885"/>
      <w:docPartObj>
        <w:docPartGallery w:val="Page Numbers (Bottom of Page)"/>
        <w:docPartUnique/>
      </w:docPartObj>
    </w:sdtPr>
    <w:sdtContent>
      <w:p w:rsidR="00983846" w:rsidRDefault="00836AB2">
        <w:pPr>
          <w:pStyle w:val="a6"/>
          <w:jc w:val="center"/>
        </w:pPr>
        <w:fldSimple w:instr=" PAGE   \* MERGEFORMAT ">
          <w:r w:rsidR="000B0C12" w:rsidRPr="000B0C12">
            <w:rPr>
              <w:noProof/>
              <w:lang w:val="zh-TW"/>
            </w:rPr>
            <w:t>1</w:t>
          </w:r>
        </w:fldSimple>
      </w:p>
    </w:sdtContent>
  </w:sdt>
  <w:p w:rsidR="00983846" w:rsidRDefault="009838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46" w:rsidRDefault="00983846" w:rsidP="00A42FFF">
      <w:r>
        <w:separator/>
      </w:r>
    </w:p>
  </w:footnote>
  <w:footnote w:type="continuationSeparator" w:id="0">
    <w:p w:rsidR="00983846" w:rsidRDefault="00983846" w:rsidP="00A42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378"/>
    <w:multiLevelType w:val="hybridMultilevel"/>
    <w:tmpl w:val="46685F6A"/>
    <w:lvl w:ilvl="0" w:tplc="9968A6BE">
      <w:start w:val="1"/>
      <w:numFmt w:val="decimal"/>
      <w:lvlText w:val="%1."/>
      <w:lvlJc w:val="left"/>
      <w:pPr>
        <w:ind w:left="1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">
    <w:nsid w:val="2307704E"/>
    <w:multiLevelType w:val="hybridMultilevel"/>
    <w:tmpl w:val="06AC326A"/>
    <w:lvl w:ilvl="0" w:tplc="CB4A8724">
      <w:start w:val="1"/>
      <w:numFmt w:val="decimal"/>
      <w:lvlText w:val="%1.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">
    <w:nsid w:val="76C24A3C"/>
    <w:multiLevelType w:val="hybridMultilevel"/>
    <w:tmpl w:val="53649B74"/>
    <w:lvl w:ilvl="0" w:tplc="F6E8B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7EB"/>
    <w:rsid w:val="00010A29"/>
    <w:rsid w:val="00022A6F"/>
    <w:rsid w:val="0003582C"/>
    <w:rsid w:val="00056A0F"/>
    <w:rsid w:val="00062F65"/>
    <w:rsid w:val="0007227B"/>
    <w:rsid w:val="00076B17"/>
    <w:rsid w:val="0009107B"/>
    <w:rsid w:val="000A3F06"/>
    <w:rsid w:val="000B0C12"/>
    <w:rsid w:val="000B7245"/>
    <w:rsid w:val="000C2306"/>
    <w:rsid w:val="000E2D78"/>
    <w:rsid w:val="000E4016"/>
    <w:rsid w:val="000F34F1"/>
    <w:rsid w:val="00104718"/>
    <w:rsid w:val="0011694C"/>
    <w:rsid w:val="00120A66"/>
    <w:rsid w:val="00127E8D"/>
    <w:rsid w:val="00141F7D"/>
    <w:rsid w:val="001437FF"/>
    <w:rsid w:val="001468A3"/>
    <w:rsid w:val="00151F80"/>
    <w:rsid w:val="00164AC5"/>
    <w:rsid w:val="001739D1"/>
    <w:rsid w:val="00185EF7"/>
    <w:rsid w:val="001928FB"/>
    <w:rsid w:val="00196166"/>
    <w:rsid w:val="001B63F9"/>
    <w:rsid w:val="001B6BC9"/>
    <w:rsid w:val="001C4048"/>
    <w:rsid w:val="001C57A5"/>
    <w:rsid w:val="001D5A27"/>
    <w:rsid w:val="001D5B43"/>
    <w:rsid w:val="001F7FF5"/>
    <w:rsid w:val="00201F1A"/>
    <w:rsid w:val="002049F0"/>
    <w:rsid w:val="00237C96"/>
    <w:rsid w:val="00274E06"/>
    <w:rsid w:val="002D3814"/>
    <w:rsid w:val="002E33E9"/>
    <w:rsid w:val="002F3E6B"/>
    <w:rsid w:val="00340336"/>
    <w:rsid w:val="00387EBA"/>
    <w:rsid w:val="003A3DE9"/>
    <w:rsid w:val="003D1E9F"/>
    <w:rsid w:val="003E7391"/>
    <w:rsid w:val="003F4A29"/>
    <w:rsid w:val="0040153E"/>
    <w:rsid w:val="004141DE"/>
    <w:rsid w:val="00431CC5"/>
    <w:rsid w:val="0043743C"/>
    <w:rsid w:val="0044639D"/>
    <w:rsid w:val="0046084B"/>
    <w:rsid w:val="004678F1"/>
    <w:rsid w:val="004711CD"/>
    <w:rsid w:val="00472D3D"/>
    <w:rsid w:val="004744E9"/>
    <w:rsid w:val="00476D42"/>
    <w:rsid w:val="004E33DB"/>
    <w:rsid w:val="004E67EB"/>
    <w:rsid w:val="00516F31"/>
    <w:rsid w:val="00521167"/>
    <w:rsid w:val="00534097"/>
    <w:rsid w:val="00543CAA"/>
    <w:rsid w:val="005442F0"/>
    <w:rsid w:val="005801D4"/>
    <w:rsid w:val="00587B88"/>
    <w:rsid w:val="005A4389"/>
    <w:rsid w:val="005C2ED4"/>
    <w:rsid w:val="005C6214"/>
    <w:rsid w:val="005D4372"/>
    <w:rsid w:val="005F1BFC"/>
    <w:rsid w:val="005F2304"/>
    <w:rsid w:val="006013FE"/>
    <w:rsid w:val="006110B4"/>
    <w:rsid w:val="00621D1A"/>
    <w:rsid w:val="006438C3"/>
    <w:rsid w:val="006516BD"/>
    <w:rsid w:val="00655DAE"/>
    <w:rsid w:val="006B20B9"/>
    <w:rsid w:val="006B60F6"/>
    <w:rsid w:val="006C66E0"/>
    <w:rsid w:val="006D0D59"/>
    <w:rsid w:val="006E1414"/>
    <w:rsid w:val="006F1642"/>
    <w:rsid w:val="006F7003"/>
    <w:rsid w:val="007051FD"/>
    <w:rsid w:val="00706506"/>
    <w:rsid w:val="00711738"/>
    <w:rsid w:val="00717B28"/>
    <w:rsid w:val="00726FA3"/>
    <w:rsid w:val="00733FB0"/>
    <w:rsid w:val="007423F9"/>
    <w:rsid w:val="0074510C"/>
    <w:rsid w:val="007735AB"/>
    <w:rsid w:val="00777655"/>
    <w:rsid w:val="007A27F5"/>
    <w:rsid w:val="007A7C74"/>
    <w:rsid w:val="007B32C9"/>
    <w:rsid w:val="00835934"/>
    <w:rsid w:val="008361CF"/>
    <w:rsid w:val="00836AB2"/>
    <w:rsid w:val="00845BFE"/>
    <w:rsid w:val="008725A6"/>
    <w:rsid w:val="008741CB"/>
    <w:rsid w:val="00892660"/>
    <w:rsid w:val="008B148B"/>
    <w:rsid w:val="008B596B"/>
    <w:rsid w:val="008F5C48"/>
    <w:rsid w:val="009005E8"/>
    <w:rsid w:val="00905ECE"/>
    <w:rsid w:val="00916238"/>
    <w:rsid w:val="009275C2"/>
    <w:rsid w:val="009366A0"/>
    <w:rsid w:val="00956F2E"/>
    <w:rsid w:val="00957465"/>
    <w:rsid w:val="00983846"/>
    <w:rsid w:val="009A2949"/>
    <w:rsid w:val="009C5010"/>
    <w:rsid w:val="009D20E7"/>
    <w:rsid w:val="009E405D"/>
    <w:rsid w:val="00A06A20"/>
    <w:rsid w:val="00A35A90"/>
    <w:rsid w:val="00A37C91"/>
    <w:rsid w:val="00A4082E"/>
    <w:rsid w:val="00A42FFF"/>
    <w:rsid w:val="00A43C40"/>
    <w:rsid w:val="00A5625A"/>
    <w:rsid w:val="00A57694"/>
    <w:rsid w:val="00A655EC"/>
    <w:rsid w:val="00A744E5"/>
    <w:rsid w:val="00A8348E"/>
    <w:rsid w:val="00A83B3C"/>
    <w:rsid w:val="00AC5C74"/>
    <w:rsid w:val="00AC653B"/>
    <w:rsid w:val="00AE6546"/>
    <w:rsid w:val="00AF6486"/>
    <w:rsid w:val="00B07D4C"/>
    <w:rsid w:val="00B24D0A"/>
    <w:rsid w:val="00B272DE"/>
    <w:rsid w:val="00B359E5"/>
    <w:rsid w:val="00B40661"/>
    <w:rsid w:val="00B45A86"/>
    <w:rsid w:val="00B53465"/>
    <w:rsid w:val="00B644D6"/>
    <w:rsid w:val="00B71AC5"/>
    <w:rsid w:val="00B7285D"/>
    <w:rsid w:val="00B756F4"/>
    <w:rsid w:val="00B77BBC"/>
    <w:rsid w:val="00B8175D"/>
    <w:rsid w:val="00B82C6C"/>
    <w:rsid w:val="00B91699"/>
    <w:rsid w:val="00B9228E"/>
    <w:rsid w:val="00B960AD"/>
    <w:rsid w:val="00BE7BE6"/>
    <w:rsid w:val="00BF30A9"/>
    <w:rsid w:val="00C13B18"/>
    <w:rsid w:val="00C47397"/>
    <w:rsid w:val="00CB6AC0"/>
    <w:rsid w:val="00CD436E"/>
    <w:rsid w:val="00CD7949"/>
    <w:rsid w:val="00CE0EE8"/>
    <w:rsid w:val="00CF08D7"/>
    <w:rsid w:val="00CF0D72"/>
    <w:rsid w:val="00D14F18"/>
    <w:rsid w:val="00D2708D"/>
    <w:rsid w:val="00D455B7"/>
    <w:rsid w:val="00D94B03"/>
    <w:rsid w:val="00DA14FA"/>
    <w:rsid w:val="00DA2C72"/>
    <w:rsid w:val="00DA465B"/>
    <w:rsid w:val="00DC7219"/>
    <w:rsid w:val="00DD58B9"/>
    <w:rsid w:val="00DE09E6"/>
    <w:rsid w:val="00DF227C"/>
    <w:rsid w:val="00DF4131"/>
    <w:rsid w:val="00DF621A"/>
    <w:rsid w:val="00E0727A"/>
    <w:rsid w:val="00E31E5B"/>
    <w:rsid w:val="00E46306"/>
    <w:rsid w:val="00E52735"/>
    <w:rsid w:val="00E52865"/>
    <w:rsid w:val="00E620AC"/>
    <w:rsid w:val="00E666D0"/>
    <w:rsid w:val="00E9728F"/>
    <w:rsid w:val="00E973E3"/>
    <w:rsid w:val="00EA14FE"/>
    <w:rsid w:val="00EA261D"/>
    <w:rsid w:val="00EA2B4B"/>
    <w:rsid w:val="00EE4A65"/>
    <w:rsid w:val="00F02F5E"/>
    <w:rsid w:val="00F0464C"/>
    <w:rsid w:val="00F16DEF"/>
    <w:rsid w:val="00F22449"/>
    <w:rsid w:val="00F24B07"/>
    <w:rsid w:val="00F351E3"/>
    <w:rsid w:val="00F439B3"/>
    <w:rsid w:val="00FB4DF7"/>
    <w:rsid w:val="00FC37B1"/>
    <w:rsid w:val="00FC717D"/>
    <w:rsid w:val="00FF0451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3"/>
    <w:pPr>
      <w:ind w:leftChars="200" w:left="480"/>
    </w:pPr>
  </w:style>
  <w:style w:type="paragraph" w:styleId="a4">
    <w:name w:val="header"/>
    <w:basedOn w:val="a"/>
    <w:link w:val="a5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42F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F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FFF"/>
    <w:rPr>
      <w:sz w:val="20"/>
      <w:szCs w:val="20"/>
    </w:rPr>
  </w:style>
  <w:style w:type="table" w:styleId="a8">
    <w:name w:val="Table Grid"/>
    <w:basedOn w:val="a1"/>
    <w:uiPriority w:val="59"/>
    <w:rsid w:val="00476D42"/>
    <w:pPr>
      <w:ind w:left="567" w:hanging="567"/>
      <w:jc w:val="center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1118</Characters>
  <Application>Microsoft Office Word</Application>
  <DocSecurity>4</DocSecurity>
  <Lines>9</Lines>
  <Paragraphs>2</Paragraphs>
  <ScaleCrop>false</ScaleCrop>
  <Company>CDIC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c137</dc:creator>
  <cp:lastModifiedBy>c256</cp:lastModifiedBy>
  <cp:revision>2</cp:revision>
  <cp:lastPrinted>2016-07-19T06:41:00Z</cp:lastPrinted>
  <dcterms:created xsi:type="dcterms:W3CDTF">2016-07-28T08:38:00Z</dcterms:created>
  <dcterms:modified xsi:type="dcterms:W3CDTF">2016-07-28T08:38:00Z</dcterms:modified>
</cp:coreProperties>
</file>