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Default="004E67EB" w:rsidP="000E2D78">
      <w:pPr>
        <w:spacing w:line="460" w:lineRule="exact"/>
        <w:ind w:left="1410" w:hanging="284"/>
        <w:jc w:val="center"/>
        <w:rPr>
          <w:rFonts w:ascii="標楷體" w:eastAsia="標楷體" w:hAnsi="標楷體"/>
          <w:b/>
          <w:sz w:val="28"/>
          <w:szCs w:val="28"/>
        </w:rPr>
      </w:pPr>
      <w:r w:rsidRPr="00AC5C74">
        <w:rPr>
          <w:rFonts w:ascii="標楷體" w:eastAsia="標楷體" w:hAnsi="標楷體"/>
          <w:b/>
          <w:sz w:val="28"/>
          <w:szCs w:val="28"/>
        </w:rPr>
        <w:t>風險指標資料</w:t>
      </w:r>
      <w:r w:rsidRPr="00AC5C74">
        <w:rPr>
          <w:rFonts w:ascii="標楷體" w:eastAsia="標楷體" w:hAnsi="標楷體" w:hint="eastAsia"/>
          <w:b/>
          <w:sz w:val="28"/>
          <w:szCs w:val="28"/>
        </w:rPr>
        <w:t>查核缺失態樣</w:t>
      </w:r>
      <w:r w:rsidR="009C5010">
        <w:rPr>
          <w:rFonts w:ascii="標楷體" w:eastAsia="標楷體" w:hAnsi="標楷體" w:hint="eastAsia"/>
          <w:b/>
          <w:sz w:val="28"/>
          <w:szCs w:val="28"/>
        </w:rPr>
        <w:t>（</w:t>
      </w:r>
      <w:proofErr w:type="gramStart"/>
      <w:r w:rsidR="009C5010" w:rsidRPr="00AC5C74">
        <w:rPr>
          <w:rFonts w:ascii="標楷體" w:eastAsia="標楷體" w:hAnsi="標楷體" w:hint="eastAsia"/>
          <w:b/>
          <w:sz w:val="28"/>
          <w:szCs w:val="28"/>
        </w:rPr>
        <w:t>103</w:t>
      </w:r>
      <w:proofErr w:type="gramEnd"/>
      <w:r w:rsidR="009C5010" w:rsidRPr="00AC5C74">
        <w:rPr>
          <w:rFonts w:ascii="標楷體" w:eastAsia="標楷體" w:hAnsi="標楷體" w:hint="eastAsia"/>
          <w:b/>
          <w:sz w:val="28"/>
          <w:szCs w:val="28"/>
        </w:rPr>
        <w:t>年</w:t>
      </w:r>
      <w:r w:rsidR="009C5010">
        <w:rPr>
          <w:rFonts w:ascii="標楷體" w:eastAsia="標楷體" w:hAnsi="標楷體" w:hint="eastAsia"/>
          <w:b/>
          <w:sz w:val="28"/>
          <w:szCs w:val="28"/>
        </w:rPr>
        <w:t>度）</w:t>
      </w:r>
    </w:p>
    <w:p w:rsidR="007A7C74" w:rsidRPr="00AC5C74" w:rsidRDefault="007A7C74" w:rsidP="000E2D78">
      <w:pPr>
        <w:spacing w:line="460" w:lineRule="exact"/>
        <w:ind w:left="1410" w:hanging="284"/>
        <w:jc w:val="center"/>
        <w:rPr>
          <w:rFonts w:ascii="標楷體" w:eastAsia="標楷體" w:hAnsi="標楷體"/>
          <w:b/>
          <w:sz w:val="28"/>
          <w:szCs w:val="28"/>
        </w:rPr>
      </w:pPr>
      <w:r>
        <w:rPr>
          <w:rFonts w:ascii="標楷體" w:eastAsia="標楷體" w:hAnsi="標楷體" w:hint="eastAsia"/>
          <w:b/>
          <w:sz w:val="28"/>
          <w:szCs w:val="28"/>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10BD0" w:rsidTr="00476D42">
        <w:trPr>
          <w:trHeight w:val="2214"/>
        </w:trPr>
        <w:tc>
          <w:tcPr>
            <w:tcW w:w="8372" w:type="dxa"/>
          </w:tcPr>
          <w:p w:rsidR="00476D42" w:rsidRPr="00185EF7" w:rsidRDefault="009C5010" w:rsidP="00B272DE">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t>態樣</w:t>
            </w:r>
            <w:proofErr w:type="gramStart"/>
            <w:r w:rsidR="00476D42" w:rsidRPr="00185EF7">
              <w:rPr>
                <w:rFonts w:ascii="標楷體" w:eastAsia="標楷體" w:hAnsi="標楷體" w:hint="eastAsia"/>
                <w:b/>
                <w:sz w:val="28"/>
                <w:szCs w:val="28"/>
              </w:rPr>
              <w:t>一</w:t>
            </w:r>
            <w:proofErr w:type="gramEnd"/>
            <w:r>
              <w:rPr>
                <w:rFonts w:ascii="標楷體" w:eastAsia="標楷體" w:hAnsi="標楷體" w:hint="eastAsia"/>
                <w:b/>
                <w:sz w:val="28"/>
                <w:szCs w:val="28"/>
              </w:rPr>
              <w:t>：</w:t>
            </w:r>
            <w:r w:rsidR="00476D42" w:rsidRPr="00185EF7">
              <w:rPr>
                <w:rFonts w:ascii="標楷體" w:eastAsia="標楷體" w:hAnsi="標楷體" w:hint="eastAsia"/>
                <w:b/>
                <w:sz w:val="28"/>
                <w:szCs w:val="28"/>
              </w:rPr>
              <w:t>應予評估資產申報及分類錯誤</w:t>
            </w:r>
            <w:r w:rsidR="00476D42">
              <w:rPr>
                <w:rFonts w:ascii="標楷體" w:eastAsia="標楷體" w:hAnsi="標楷體" w:hint="eastAsia"/>
                <w:b/>
                <w:sz w:val="28"/>
                <w:szCs w:val="28"/>
              </w:rPr>
              <w:t>：</w:t>
            </w:r>
            <w:r w:rsidR="00476D42" w:rsidRPr="00185EF7">
              <w:rPr>
                <w:rFonts w:ascii="標楷體" w:eastAsia="標楷體" w:hAnsi="標楷體" w:hint="eastAsia"/>
                <w:b/>
                <w:sz w:val="28"/>
                <w:szCs w:val="28"/>
              </w:rPr>
              <w:t xml:space="preserve">                                                                                                                                                                                                                                                                                                                                                                                                                                                                                </w:t>
            </w:r>
          </w:p>
          <w:p w:rsidR="00476D42" w:rsidRPr="00682137" w:rsidRDefault="00476D42" w:rsidP="009C5010">
            <w:pPr>
              <w:spacing w:line="460" w:lineRule="exact"/>
              <w:ind w:left="1410" w:hanging="284"/>
              <w:jc w:val="both"/>
              <w:rPr>
                <w:rFonts w:ascii="標楷體" w:eastAsia="標楷體" w:hAnsi="標楷體"/>
                <w:b/>
                <w:sz w:val="28"/>
                <w:szCs w:val="28"/>
              </w:rPr>
            </w:pPr>
            <w:r w:rsidRPr="00682137">
              <w:rPr>
                <w:rFonts w:ascii="標楷體" w:eastAsia="標楷體" w:hAnsi="標楷體" w:hint="eastAsia"/>
                <w:b/>
                <w:sz w:val="28"/>
                <w:szCs w:val="28"/>
              </w:rPr>
              <w:t>1.借戶</w:t>
            </w:r>
            <w:proofErr w:type="gramStart"/>
            <w:r w:rsidRPr="00682137">
              <w:rPr>
                <w:rFonts w:ascii="標楷體" w:eastAsia="標楷體" w:hAnsi="標楷體" w:hint="eastAsia"/>
                <w:b/>
                <w:sz w:val="28"/>
                <w:szCs w:val="28"/>
              </w:rPr>
              <w:t>擔保品遭他人</w:t>
            </w:r>
            <w:proofErr w:type="gramEnd"/>
            <w:r w:rsidRPr="00682137">
              <w:rPr>
                <w:rFonts w:ascii="標楷體" w:eastAsia="標楷體" w:hAnsi="標楷體" w:hint="eastAsia"/>
                <w:b/>
                <w:sz w:val="28"/>
                <w:szCs w:val="28"/>
              </w:rPr>
              <w:t>強制執行、遭受拒絕往來處分及前置協商者</w:t>
            </w:r>
            <w:r w:rsidR="00127E8D">
              <w:rPr>
                <w:rFonts w:ascii="標楷體" w:eastAsia="標楷體" w:hAnsi="標楷體" w:hint="eastAsia"/>
                <w:b/>
                <w:sz w:val="28"/>
                <w:szCs w:val="28"/>
              </w:rPr>
              <w:t>未</w:t>
            </w:r>
            <w:r w:rsidRPr="00682137">
              <w:rPr>
                <w:rFonts w:ascii="標楷體" w:eastAsia="標楷體" w:hAnsi="標楷體" w:hint="eastAsia"/>
                <w:b/>
                <w:sz w:val="28"/>
                <w:szCs w:val="28"/>
              </w:rPr>
              <w:t>列入評估及申報。</w:t>
            </w:r>
          </w:p>
          <w:p w:rsidR="00476D42" w:rsidRPr="00682137" w:rsidRDefault="00476D42" w:rsidP="009C5010">
            <w:pPr>
              <w:spacing w:line="460" w:lineRule="exact"/>
              <w:ind w:left="1410" w:hanging="284"/>
              <w:jc w:val="both"/>
              <w:rPr>
                <w:rFonts w:ascii="標楷體" w:eastAsia="標楷體" w:hAnsi="標楷體"/>
                <w:b/>
                <w:sz w:val="28"/>
                <w:szCs w:val="28"/>
              </w:rPr>
            </w:pPr>
            <w:r w:rsidRPr="00682137">
              <w:rPr>
                <w:rFonts w:ascii="標楷體" w:eastAsia="標楷體" w:hAnsi="標楷體" w:hint="eastAsia"/>
                <w:b/>
                <w:sz w:val="28"/>
                <w:szCs w:val="28"/>
              </w:rPr>
              <w:t>2.應予評估授信資產所提列之應收利息</w:t>
            </w:r>
            <w:r w:rsidR="00706506">
              <w:rPr>
                <w:rFonts w:ascii="標楷體" w:eastAsia="標楷體" w:hAnsi="標楷體" w:hint="eastAsia"/>
                <w:b/>
                <w:sz w:val="28"/>
                <w:szCs w:val="28"/>
              </w:rPr>
              <w:t>未</w:t>
            </w:r>
            <w:r w:rsidRPr="00682137">
              <w:rPr>
                <w:rFonts w:ascii="標楷體" w:eastAsia="標楷體" w:hAnsi="標楷體" w:hint="eastAsia"/>
                <w:b/>
                <w:sz w:val="28"/>
                <w:szCs w:val="28"/>
              </w:rPr>
              <w:t>列入申報。</w:t>
            </w:r>
          </w:p>
          <w:p w:rsidR="00476D42" w:rsidRPr="00682137" w:rsidRDefault="00476D42" w:rsidP="009C5010">
            <w:pPr>
              <w:spacing w:line="460" w:lineRule="exact"/>
              <w:ind w:left="1410" w:hanging="284"/>
              <w:jc w:val="both"/>
              <w:rPr>
                <w:rFonts w:ascii="標楷體" w:eastAsia="標楷體" w:hAnsi="標楷體"/>
                <w:b/>
                <w:sz w:val="28"/>
                <w:szCs w:val="28"/>
              </w:rPr>
            </w:pPr>
            <w:r w:rsidRPr="00682137">
              <w:rPr>
                <w:rFonts w:ascii="標楷體" w:eastAsia="標楷體" w:hAnsi="標楷體" w:hint="eastAsia"/>
                <w:b/>
                <w:sz w:val="28"/>
                <w:szCs w:val="28"/>
              </w:rPr>
              <w:t>3.借戶逾清償期1個月，或雖未屆清償期或到期日，惟有</w:t>
            </w:r>
            <w:proofErr w:type="gramStart"/>
            <w:r w:rsidRPr="00682137">
              <w:rPr>
                <w:rFonts w:ascii="標楷體" w:eastAsia="標楷體" w:hAnsi="標楷體" w:hint="eastAsia"/>
                <w:b/>
                <w:sz w:val="28"/>
                <w:szCs w:val="28"/>
              </w:rPr>
              <w:t>其他債</w:t>
            </w:r>
            <w:proofErr w:type="gramEnd"/>
            <w:r w:rsidRPr="00682137">
              <w:rPr>
                <w:rFonts w:ascii="標楷體" w:eastAsia="標楷體" w:hAnsi="標楷體" w:hint="eastAsia"/>
                <w:b/>
                <w:sz w:val="28"/>
                <w:szCs w:val="28"/>
              </w:rPr>
              <w:t>信不良者，未列報為應予注意（Ⅱ類）。</w:t>
            </w:r>
          </w:p>
          <w:p w:rsidR="00476D42" w:rsidRPr="00682137" w:rsidRDefault="00476D42" w:rsidP="009C5010">
            <w:pPr>
              <w:spacing w:line="460" w:lineRule="exact"/>
              <w:ind w:left="1410" w:hanging="284"/>
              <w:jc w:val="both"/>
              <w:rPr>
                <w:rFonts w:ascii="標楷體" w:eastAsia="標楷體" w:hAnsi="標楷體"/>
                <w:b/>
                <w:sz w:val="28"/>
                <w:szCs w:val="28"/>
              </w:rPr>
            </w:pPr>
            <w:r w:rsidRPr="00682137">
              <w:rPr>
                <w:rFonts w:ascii="標楷體" w:eastAsia="標楷體" w:hAnsi="標楷體" w:hint="eastAsia"/>
                <w:b/>
                <w:sz w:val="28"/>
                <w:szCs w:val="28"/>
              </w:rPr>
              <w:t>4.信用卡逾期帳款、債務協商及債務清理者</w:t>
            </w:r>
            <w:r w:rsidR="00127E8D">
              <w:rPr>
                <w:rFonts w:ascii="標楷體" w:eastAsia="標楷體" w:hAnsi="標楷體" w:hint="eastAsia"/>
                <w:b/>
                <w:sz w:val="28"/>
                <w:szCs w:val="28"/>
              </w:rPr>
              <w:t>未</w:t>
            </w:r>
            <w:r w:rsidRPr="00682137">
              <w:rPr>
                <w:rFonts w:ascii="標楷體" w:eastAsia="標楷體" w:hAnsi="標楷體" w:hint="eastAsia"/>
                <w:b/>
                <w:sz w:val="28"/>
                <w:szCs w:val="28"/>
              </w:rPr>
              <w:t>列入評估及申報。</w:t>
            </w:r>
          </w:p>
          <w:p w:rsidR="00476D42" w:rsidRPr="00682137" w:rsidRDefault="00476D42" w:rsidP="001D5B43">
            <w:pPr>
              <w:spacing w:line="460" w:lineRule="exact"/>
              <w:ind w:left="1410" w:hanging="284"/>
              <w:jc w:val="both"/>
              <w:rPr>
                <w:rFonts w:hAnsi="標楷體"/>
                <w:b/>
                <w:szCs w:val="28"/>
              </w:rPr>
            </w:pPr>
            <w:r w:rsidRPr="00682137">
              <w:rPr>
                <w:rFonts w:ascii="標楷體" w:eastAsia="標楷體" w:hAnsi="標楷體" w:hint="eastAsia"/>
                <w:b/>
                <w:sz w:val="28"/>
                <w:szCs w:val="28"/>
              </w:rPr>
              <w:t>5.借戶帳列催收款項金額，係</w:t>
            </w:r>
            <w:proofErr w:type="gramStart"/>
            <w:r w:rsidRPr="00682137">
              <w:rPr>
                <w:rFonts w:ascii="標楷體" w:eastAsia="標楷體" w:hAnsi="標楷體" w:hint="eastAsia"/>
                <w:b/>
                <w:sz w:val="28"/>
                <w:szCs w:val="28"/>
              </w:rPr>
              <w:t>擔保品拍定</w:t>
            </w:r>
            <w:proofErr w:type="gramEnd"/>
            <w:r w:rsidRPr="00682137">
              <w:rPr>
                <w:rFonts w:ascii="標楷體" w:eastAsia="標楷體" w:hAnsi="標楷體" w:hint="eastAsia"/>
                <w:b/>
                <w:sz w:val="28"/>
                <w:szCs w:val="28"/>
              </w:rPr>
              <w:t>分配後不足款，且無其他可供執行之財產，經評估調整為</w:t>
            </w:r>
            <w:proofErr w:type="gramStart"/>
            <w:r w:rsidRPr="00682137">
              <w:rPr>
                <w:rFonts w:ascii="標楷體" w:eastAsia="標楷體" w:hAnsi="標楷體" w:hint="eastAsia"/>
                <w:b/>
                <w:sz w:val="28"/>
                <w:szCs w:val="28"/>
              </w:rPr>
              <w:t>第Ⅴ類授</w:t>
            </w:r>
            <w:proofErr w:type="gramEnd"/>
            <w:r w:rsidRPr="00682137">
              <w:rPr>
                <w:rFonts w:ascii="標楷體" w:eastAsia="標楷體" w:hAnsi="標楷體" w:hint="eastAsia"/>
                <w:b/>
                <w:sz w:val="28"/>
                <w:szCs w:val="28"/>
              </w:rPr>
              <w:t>信資產。</w:t>
            </w:r>
          </w:p>
        </w:tc>
      </w:tr>
    </w:tbl>
    <w:p w:rsidR="004E67EB" w:rsidRPr="00431CC5" w:rsidRDefault="004E67EB" w:rsidP="00431CC5">
      <w:pPr>
        <w:spacing w:line="460" w:lineRule="exact"/>
        <w:ind w:left="1276" w:hanging="1276"/>
        <w:rPr>
          <w:rFonts w:ascii="標楷體" w:eastAsia="標楷體" w:hAnsi="標楷體" w:cs="Times New Roman"/>
          <w:b/>
          <w:color w:val="C00000"/>
          <w:spacing w:val="-14"/>
          <w:sz w:val="28"/>
          <w:szCs w:val="28"/>
        </w:rPr>
      </w:pPr>
      <w:r w:rsidRPr="00431CC5">
        <w:rPr>
          <w:rFonts w:ascii="標楷體" w:eastAsia="標楷體" w:hAnsi="標楷體" w:cs="Times New Roman" w:hint="eastAsia"/>
          <w:b/>
          <w:color w:val="C00000"/>
          <w:spacing w:val="-14"/>
          <w:sz w:val="28"/>
          <w:szCs w:val="28"/>
        </w:rPr>
        <w:t>改善作法：</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（1）銀行資產評估損失準備提列及逾期放款催收款呆帳處理辦法。</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（2）單一申報窗口AI345資產品質評估明細表填報說明，其它有欠正常放款之定義，對本金或利息超逾清償期一至三個月，或雖未屆清償期或到期日，惟已有</w:t>
      </w:r>
      <w:proofErr w:type="gramStart"/>
      <w:r w:rsidRPr="00431CC5">
        <w:rPr>
          <w:rFonts w:ascii="標楷體" w:eastAsia="標楷體" w:hAnsi="標楷體" w:cs="Times New Roman" w:hint="eastAsia"/>
          <w:spacing w:val="-14"/>
          <w:sz w:val="28"/>
          <w:szCs w:val="28"/>
        </w:rPr>
        <w:t>其他債</w:t>
      </w:r>
      <w:proofErr w:type="gramEnd"/>
      <w:r w:rsidRPr="00431CC5">
        <w:rPr>
          <w:rFonts w:ascii="標楷體" w:eastAsia="標楷體" w:hAnsi="標楷體" w:cs="Times New Roman" w:hint="eastAsia"/>
          <w:spacing w:val="-14"/>
          <w:sz w:val="28"/>
          <w:szCs w:val="28"/>
        </w:rPr>
        <w:t>信不良者。所稱已有</w:t>
      </w:r>
      <w:proofErr w:type="gramStart"/>
      <w:r w:rsidRPr="00431CC5">
        <w:rPr>
          <w:rFonts w:ascii="標楷體" w:eastAsia="標楷體" w:hAnsi="標楷體" w:cs="Times New Roman" w:hint="eastAsia"/>
          <w:spacing w:val="-14"/>
          <w:sz w:val="28"/>
          <w:szCs w:val="28"/>
        </w:rPr>
        <w:t>其他債</w:t>
      </w:r>
      <w:proofErr w:type="gramEnd"/>
      <w:r w:rsidRPr="00431CC5">
        <w:rPr>
          <w:rFonts w:ascii="標楷體" w:eastAsia="標楷體" w:hAnsi="標楷體" w:cs="Times New Roman" w:hint="eastAsia"/>
          <w:spacing w:val="-14"/>
          <w:sz w:val="28"/>
          <w:szCs w:val="28"/>
        </w:rPr>
        <w:t>信不良之情形，包括放款戶有下列情形之</w:t>
      </w:r>
      <w:proofErr w:type="gramStart"/>
      <w:r w:rsidRPr="00431CC5">
        <w:rPr>
          <w:rFonts w:ascii="標楷體" w:eastAsia="標楷體" w:hAnsi="標楷體" w:cs="Times New Roman" w:hint="eastAsia"/>
          <w:spacing w:val="-14"/>
          <w:sz w:val="28"/>
          <w:szCs w:val="28"/>
        </w:rPr>
        <w:t>一</w:t>
      </w:r>
      <w:proofErr w:type="gramEnd"/>
      <w:r w:rsidRPr="00431CC5">
        <w:rPr>
          <w:rFonts w:ascii="標楷體" w:eastAsia="標楷體" w:hAnsi="標楷體" w:cs="Times New Roman" w:hint="eastAsia"/>
          <w:spacing w:val="-14"/>
          <w:sz w:val="28"/>
          <w:szCs w:val="28"/>
        </w:rPr>
        <w:t>者，但銀行經評估後，認為授信戶符合指標之因素確與債信不良無關，且能留存完整佐證資料者，得免填報：</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甲、放款戶經本行通報退票記錄。</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乙、放款戶經票交所公告拒絕往來。</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丙、銀行知悉（如已接獲法院通知）放款戶於本行之擔保品，遭他行強制執行者。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丁、銀行辦理覆審或追蹤</w:t>
      </w:r>
      <w:proofErr w:type="gramStart"/>
      <w:r w:rsidRPr="00431CC5">
        <w:rPr>
          <w:rFonts w:ascii="標楷體" w:eastAsia="標楷體" w:hAnsi="標楷體" w:cs="Times New Roman" w:hint="eastAsia"/>
          <w:spacing w:val="-14"/>
          <w:sz w:val="28"/>
          <w:szCs w:val="28"/>
        </w:rPr>
        <w:t>考核等貸後</w:t>
      </w:r>
      <w:proofErr w:type="gramEnd"/>
      <w:r w:rsidRPr="00431CC5">
        <w:rPr>
          <w:rFonts w:ascii="標楷體" w:eastAsia="標楷體" w:hAnsi="標楷體" w:cs="Times New Roman" w:hint="eastAsia"/>
          <w:spacing w:val="-14"/>
          <w:sz w:val="28"/>
          <w:szCs w:val="28"/>
        </w:rPr>
        <w:t>管理程序時知悉放款戶之債務經其他金融機構列為催收款或轉銷呆帳者。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戊、放款戶經聲請重整者。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lastRenderedPageBreak/>
        <w:t>己、銀行辦理覆審或追蹤</w:t>
      </w:r>
      <w:proofErr w:type="gramStart"/>
      <w:r w:rsidRPr="00431CC5">
        <w:rPr>
          <w:rFonts w:ascii="標楷體" w:eastAsia="標楷體" w:hAnsi="標楷體" w:cs="Times New Roman" w:hint="eastAsia"/>
          <w:spacing w:val="-14"/>
          <w:sz w:val="28"/>
          <w:szCs w:val="28"/>
        </w:rPr>
        <w:t>考核等貸後</w:t>
      </w:r>
      <w:proofErr w:type="gramEnd"/>
      <w:r w:rsidRPr="00431CC5">
        <w:rPr>
          <w:rFonts w:ascii="標楷體" w:eastAsia="標楷體" w:hAnsi="標楷體" w:cs="Times New Roman" w:hint="eastAsia"/>
          <w:spacing w:val="-14"/>
          <w:sz w:val="28"/>
          <w:szCs w:val="28"/>
        </w:rPr>
        <w:t>管理程序時知悉放款戶之財務報告經會計師出具對受查者之繼續經營假設存有重大疑慮之意見。</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庚、其他知悉客戶有債信不良情形者。</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2.依規定填報並落實複核機制。</w:t>
      </w:r>
    </w:p>
    <w:p w:rsidR="004E67EB"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431CC5" w:rsidRPr="009C5010" w:rsidRDefault="00431CC5" w:rsidP="009C5010">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DB4E87">
        <w:trPr>
          <w:trHeight w:val="2214"/>
        </w:trPr>
        <w:tc>
          <w:tcPr>
            <w:tcW w:w="8372" w:type="dxa"/>
          </w:tcPr>
          <w:p w:rsidR="00431CC5" w:rsidRPr="00C13B18" w:rsidRDefault="009C5010" w:rsidP="00431CC5">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r>
              <w:rPr>
                <w:rFonts w:ascii="標楷體" w:eastAsia="標楷體" w:hAnsi="標楷體" w:hint="eastAsia"/>
                <w:b/>
                <w:sz w:val="28"/>
                <w:szCs w:val="28"/>
              </w:rPr>
              <w:t>二：</w:t>
            </w:r>
            <w:r w:rsidR="00431CC5" w:rsidRPr="00C13B18">
              <w:rPr>
                <w:rFonts w:ascii="標楷體" w:eastAsia="標楷體" w:hAnsi="標楷體" w:hint="eastAsia"/>
                <w:b/>
                <w:sz w:val="28"/>
                <w:szCs w:val="28"/>
              </w:rPr>
              <w:t>資本適足率</w:t>
            </w:r>
            <w:r w:rsidR="00777655">
              <w:rPr>
                <w:rFonts w:ascii="標楷體" w:eastAsia="標楷體" w:hAnsi="標楷體" w:hint="eastAsia"/>
                <w:b/>
                <w:sz w:val="28"/>
                <w:szCs w:val="28"/>
              </w:rPr>
              <w:t>申報有</w:t>
            </w:r>
            <w:r w:rsidR="00431CC5" w:rsidRPr="00C13B18">
              <w:rPr>
                <w:rFonts w:ascii="標楷體" w:eastAsia="標楷體" w:hAnsi="標楷體" w:hint="eastAsia"/>
                <w:b/>
                <w:sz w:val="28"/>
                <w:szCs w:val="28"/>
              </w:rPr>
              <w:t>誤</w:t>
            </w:r>
            <w:r w:rsidR="00777655">
              <w:rPr>
                <w:rFonts w:ascii="標楷體" w:eastAsia="標楷體" w:hAnsi="標楷體" w:hint="eastAsia"/>
                <w:b/>
                <w:sz w:val="28"/>
                <w:szCs w:val="28"/>
              </w:rPr>
              <w:t>差</w:t>
            </w:r>
            <w:r w:rsidR="0074510C">
              <w:rPr>
                <w:rFonts w:ascii="標楷體" w:eastAsia="標楷體" w:hAnsi="標楷體" w:hint="eastAsia"/>
                <w:b/>
                <w:sz w:val="28"/>
                <w:szCs w:val="28"/>
              </w:rPr>
              <w:t>：</w:t>
            </w:r>
          </w:p>
          <w:p w:rsidR="00431CC5" w:rsidRPr="00431CC5" w:rsidRDefault="00431CC5" w:rsidP="00905ECE">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1.</w:t>
            </w:r>
            <w:r w:rsidRPr="00431CC5">
              <w:rPr>
                <w:rFonts w:ascii="標楷體" w:eastAsia="標楷體" w:hAnsi="標楷體" w:hint="eastAsia"/>
                <w:b/>
                <w:sz w:val="28"/>
                <w:szCs w:val="28"/>
              </w:rPr>
              <w:t>將非屬住宅用不動產之授信案風險權數誤列為45%；或將非屬中小企業之授信案風險權數誤列為75%，致風險性資產總額短列。</w:t>
            </w:r>
          </w:p>
          <w:p w:rsidR="00431CC5" w:rsidRPr="00431CC5" w:rsidRDefault="00431CC5"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2.未將投資CLL(Credit Link Loan)商品之名目本金及標的資產依其屬性分別</w:t>
            </w:r>
            <w:proofErr w:type="gramStart"/>
            <w:r w:rsidRPr="00431CC5">
              <w:rPr>
                <w:rFonts w:ascii="標楷體" w:eastAsia="標楷體" w:hAnsi="標楷體" w:hint="eastAsia"/>
                <w:b/>
                <w:sz w:val="28"/>
                <w:szCs w:val="28"/>
              </w:rPr>
              <w:t>計入表內</w:t>
            </w:r>
            <w:proofErr w:type="gramEnd"/>
            <w:r w:rsidRPr="00431CC5">
              <w:rPr>
                <w:rFonts w:ascii="標楷體" w:eastAsia="標楷體" w:hAnsi="標楷體" w:hint="eastAsia"/>
                <w:b/>
                <w:sz w:val="28"/>
                <w:szCs w:val="28"/>
              </w:rPr>
              <w:t>及表外信用風險性資產，而全數</w:t>
            </w:r>
            <w:proofErr w:type="gramStart"/>
            <w:r w:rsidRPr="00431CC5">
              <w:rPr>
                <w:rFonts w:ascii="標楷體" w:eastAsia="標楷體" w:hAnsi="標楷體" w:hint="eastAsia"/>
                <w:b/>
                <w:sz w:val="28"/>
                <w:szCs w:val="28"/>
              </w:rPr>
              <w:t>計入表內</w:t>
            </w:r>
            <w:proofErr w:type="gramEnd"/>
            <w:r w:rsidRPr="00431CC5">
              <w:rPr>
                <w:rFonts w:ascii="標楷體" w:eastAsia="標楷體" w:hAnsi="標楷體" w:hint="eastAsia"/>
                <w:b/>
                <w:sz w:val="28"/>
                <w:szCs w:val="28"/>
              </w:rPr>
              <w:t>信用風險資產。</w:t>
            </w:r>
          </w:p>
          <w:p w:rsidR="00431CC5" w:rsidRPr="00431CC5" w:rsidRDefault="00431CC5"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3.未將授信可取消約定融資額度列入表外交易之信用風險申報。</w:t>
            </w:r>
          </w:p>
          <w:p w:rsidR="00431CC5" w:rsidRPr="00431CC5" w:rsidRDefault="00431CC5"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4.未</w:t>
            </w:r>
            <w:proofErr w:type="gramStart"/>
            <w:r w:rsidRPr="00431CC5">
              <w:rPr>
                <w:rFonts w:ascii="標楷體" w:eastAsia="標楷體" w:hAnsi="標楷體" w:hint="eastAsia"/>
                <w:b/>
                <w:sz w:val="28"/>
                <w:szCs w:val="28"/>
              </w:rPr>
              <w:t>將暴險類型</w:t>
            </w:r>
            <w:proofErr w:type="gramEnd"/>
            <w:r w:rsidRPr="00431CC5">
              <w:rPr>
                <w:rFonts w:ascii="標楷體" w:eastAsia="標楷體" w:hAnsi="標楷體" w:hint="eastAsia"/>
                <w:b/>
                <w:sz w:val="28"/>
                <w:szCs w:val="28"/>
              </w:rPr>
              <w:t>為主權國家之匯率契約列入店頭市場（OTC）衍生性商品交易對手信用風險計算。</w:t>
            </w:r>
          </w:p>
          <w:p w:rsidR="00431CC5" w:rsidRPr="00431CC5" w:rsidRDefault="00431CC5"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5.計算店頭市場(OTC)衍生性商品交易對手信用風險係採用系統資料辦理，未與會計帳相互勾</w:t>
            </w:r>
            <w:proofErr w:type="gramStart"/>
            <w:r w:rsidRPr="00431CC5">
              <w:rPr>
                <w:rFonts w:ascii="標楷體" w:eastAsia="標楷體" w:hAnsi="標楷體" w:hint="eastAsia"/>
                <w:b/>
                <w:sz w:val="28"/>
                <w:szCs w:val="28"/>
              </w:rPr>
              <w:t>稽</w:t>
            </w:r>
            <w:proofErr w:type="gramEnd"/>
            <w:r w:rsidRPr="00431CC5">
              <w:rPr>
                <w:rFonts w:ascii="標楷體" w:eastAsia="標楷體" w:hAnsi="標楷體" w:hint="eastAsia"/>
                <w:b/>
                <w:sz w:val="28"/>
                <w:szCs w:val="28"/>
              </w:rPr>
              <w:t>，致風險性資產計算錯誤。</w:t>
            </w:r>
          </w:p>
          <w:p w:rsidR="00431CC5" w:rsidRPr="00431CC5" w:rsidRDefault="00431CC5"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6.預期損失率報表，有關授信預期損失率、現金卡債權損失率有漏列或未依實際轉銷呆帳資料核算，致影響預期損失率之正確性。</w:t>
            </w: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spacing w:val="-14"/>
          <w:sz w:val="28"/>
          <w:szCs w:val="28"/>
        </w:rPr>
        <w:t>（</w:t>
      </w:r>
      <w:r w:rsidRPr="00431CC5">
        <w:rPr>
          <w:rFonts w:ascii="標楷體" w:eastAsia="標楷體" w:hAnsi="標楷體" w:cs="Times New Roman" w:hint="eastAsia"/>
          <w:spacing w:val="-14"/>
          <w:sz w:val="28"/>
          <w:szCs w:val="28"/>
        </w:rPr>
        <w:t>1</w:t>
      </w:r>
      <w:r w:rsidRPr="00431CC5">
        <w:rPr>
          <w:rFonts w:ascii="標楷體" w:eastAsia="標楷體" w:hAnsi="標楷體" w:cs="Times New Roman"/>
          <w:spacing w:val="-14"/>
          <w:sz w:val="28"/>
          <w:szCs w:val="28"/>
        </w:rPr>
        <w:t>）銀行自有資本與風險性資產之計算方法說明及表格</w:t>
      </w:r>
      <w:r w:rsidRPr="00431CC5">
        <w:rPr>
          <w:rFonts w:ascii="標楷體" w:eastAsia="標楷體" w:hAnsi="標楷體" w:cs="Times New Roman" w:hint="eastAsia"/>
          <w:spacing w:val="-14"/>
          <w:sz w:val="28"/>
          <w:szCs w:val="28"/>
        </w:rPr>
        <w:t>。</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spacing w:val="-14"/>
          <w:sz w:val="28"/>
          <w:szCs w:val="28"/>
        </w:rPr>
        <w:t>（</w:t>
      </w:r>
      <w:r w:rsidRPr="00431CC5">
        <w:rPr>
          <w:rFonts w:ascii="標楷體" w:eastAsia="標楷體" w:hAnsi="標楷體" w:cs="Times New Roman" w:hint="eastAsia"/>
          <w:spacing w:val="-14"/>
          <w:sz w:val="28"/>
          <w:szCs w:val="28"/>
        </w:rPr>
        <w:t>2</w:t>
      </w:r>
      <w:r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有關自</w:t>
      </w:r>
      <w:r w:rsidR="0046084B" w:rsidRPr="00431CC5">
        <w:rPr>
          <w:rFonts w:ascii="標楷體" w:eastAsia="標楷體" w:hAnsi="標楷體" w:cs="Times New Roman"/>
          <w:spacing w:val="-14"/>
          <w:sz w:val="28"/>
          <w:szCs w:val="28"/>
        </w:rPr>
        <w:t>用住宅貸款適用45％風險</w:t>
      </w:r>
      <w:r w:rsidR="0046084B" w:rsidRPr="00431CC5">
        <w:rPr>
          <w:rFonts w:ascii="標楷體" w:eastAsia="標楷體" w:hAnsi="標楷體" w:cs="Times New Roman" w:hint="eastAsia"/>
          <w:spacing w:val="-14"/>
          <w:sz w:val="28"/>
          <w:szCs w:val="28"/>
        </w:rPr>
        <w:t>權數，請</w:t>
      </w:r>
      <w:r w:rsidR="00FB4DF7" w:rsidRPr="00431CC5">
        <w:rPr>
          <w:rFonts w:ascii="標楷體" w:eastAsia="標楷體" w:hAnsi="標楷體" w:cs="Times New Roman" w:hint="eastAsia"/>
          <w:spacing w:val="-14"/>
          <w:sz w:val="28"/>
          <w:szCs w:val="28"/>
        </w:rPr>
        <w:t>依</w:t>
      </w:r>
      <w:r w:rsidR="0046084B" w:rsidRPr="00431CC5">
        <w:rPr>
          <w:rFonts w:ascii="標楷體" w:eastAsia="標楷體" w:hAnsi="標楷體" w:cs="Times New Roman"/>
          <w:spacing w:val="-14"/>
          <w:sz w:val="28"/>
          <w:szCs w:val="28"/>
        </w:rPr>
        <w:t>金融監督管理委員會103.9.22金</w:t>
      </w:r>
      <w:proofErr w:type="gramStart"/>
      <w:r w:rsidR="0046084B" w:rsidRPr="00431CC5">
        <w:rPr>
          <w:rFonts w:ascii="標楷體" w:eastAsia="標楷體" w:hAnsi="標楷體" w:cs="Times New Roman"/>
          <w:spacing w:val="-14"/>
          <w:sz w:val="28"/>
          <w:szCs w:val="28"/>
        </w:rPr>
        <w:t>管銀法字</w:t>
      </w:r>
      <w:proofErr w:type="gramEnd"/>
      <w:r w:rsidR="0046084B" w:rsidRPr="00431CC5">
        <w:rPr>
          <w:rFonts w:ascii="標楷體" w:eastAsia="標楷體" w:hAnsi="標楷體" w:cs="Times New Roman"/>
          <w:spacing w:val="-14"/>
          <w:sz w:val="28"/>
          <w:szCs w:val="28"/>
        </w:rPr>
        <w:t>第10310004912號函</w:t>
      </w:r>
      <w:r w:rsidR="0046084B" w:rsidRPr="00431CC5">
        <w:rPr>
          <w:rFonts w:ascii="標楷體" w:eastAsia="標楷體" w:hAnsi="標楷體" w:cs="Times New Roman" w:hint="eastAsia"/>
          <w:spacing w:val="-14"/>
          <w:sz w:val="28"/>
          <w:szCs w:val="28"/>
        </w:rPr>
        <w:t>修正</w:t>
      </w:r>
      <w:r w:rsidR="0046084B"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金管會為控管銀行</w:t>
      </w:r>
      <w:proofErr w:type="gramStart"/>
      <w:r w:rsidR="0046084B" w:rsidRPr="00431CC5">
        <w:rPr>
          <w:rFonts w:ascii="標楷體" w:eastAsia="標楷體" w:hAnsi="標楷體" w:cs="Times New Roman" w:hint="eastAsia"/>
          <w:spacing w:val="-14"/>
          <w:sz w:val="28"/>
          <w:szCs w:val="28"/>
        </w:rPr>
        <w:lastRenderedPageBreak/>
        <w:t>承作</w:t>
      </w:r>
      <w:proofErr w:type="gramEnd"/>
      <w:r w:rsidR="0046084B" w:rsidRPr="00431CC5">
        <w:rPr>
          <w:rFonts w:ascii="標楷體" w:eastAsia="標楷體" w:hAnsi="標楷體" w:cs="Times New Roman" w:hint="eastAsia"/>
          <w:spacing w:val="-14"/>
          <w:sz w:val="28"/>
          <w:szCs w:val="28"/>
        </w:rPr>
        <w:t>不動產貸款風險所</w:t>
      </w:r>
      <w:proofErr w:type="gramStart"/>
      <w:r w:rsidR="0046084B" w:rsidRPr="00431CC5">
        <w:rPr>
          <w:rFonts w:ascii="標楷體" w:eastAsia="標楷體" w:hAnsi="標楷體" w:cs="Times New Roman" w:hint="eastAsia"/>
          <w:spacing w:val="-14"/>
          <w:sz w:val="28"/>
          <w:szCs w:val="28"/>
        </w:rPr>
        <w:t>採</w:t>
      </w:r>
      <w:proofErr w:type="gramEnd"/>
      <w:r w:rsidR="0046084B" w:rsidRPr="00431CC5">
        <w:rPr>
          <w:rFonts w:ascii="標楷體" w:eastAsia="標楷體" w:hAnsi="標楷體" w:cs="Times New Roman" w:hint="eastAsia"/>
          <w:spacing w:val="-14"/>
          <w:sz w:val="28"/>
          <w:szCs w:val="28"/>
        </w:rPr>
        <w:t>行措施之問與答</w:t>
      </w:r>
      <w:r w:rsidR="0046084B"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之規定</w:t>
      </w:r>
      <w:r w:rsidR="00FB4DF7" w:rsidRPr="00431CC5">
        <w:rPr>
          <w:rFonts w:ascii="標楷體" w:eastAsia="標楷體" w:hAnsi="標楷體" w:cs="Times New Roman" w:hint="eastAsia"/>
          <w:spacing w:val="-14"/>
          <w:sz w:val="28"/>
          <w:szCs w:val="28"/>
        </w:rPr>
        <w:t>辦理</w:t>
      </w:r>
      <w:r w:rsidR="0046084B" w:rsidRPr="00431CC5">
        <w:rPr>
          <w:rFonts w:ascii="標楷體" w:eastAsia="標楷體" w:hAnsi="標楷體" w:cs="Times New Roman" w:hint="eastAsia"/>
          <w:spacing w:val="-14"/>
          <w:sz w:val="28"/>
          <w:szCs w:val="28"/>
        </w:rPr>
        <w:t>。</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w:t>
      </w:r>
      <w:r w:rsidR="00B24D0A" w:rsidRPr="00431CC5">
        <w:rPr>
          <w:rFonts w:ascii="標楷體" w:eastAsia="標楷體" w:hAnsi="標楷體" w:cs="Times New Roman" w:hint="eastAsia"/>
          <w:spacing w:val="-14"/>
          <w:sz w:val="28"/>
          <w:szCs w:val="28"/>
        </w:rPr>
        <w:t>正確建檔並</w:t>
      </w:r>
      <w:r w:rsidRPr="00431CC5">
        <w:rPr>
          <w:rFonts w:ascii="標楷體" w:eastAsia="標楷體" w:hAnsi="標楷體" w:cs="Times New Roman" w:hint="eastAsia"/>
          <w:spacing w:val="-14"/>
          <w:sz w:val="28"/>
          <w:szCs w:val="28"/>
        </w:rPr>
        <w:t>依規定填報並落實複核機制。</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AF6486" w:rsidRPr="00AC5C74" w:rsidRDefault="00AF6486" w:rsidP="00AF6486">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F6486" w:rsidRPr="00810BD0" w:rsidTr="00DB4E87">
        <w:trPr>
          <w:trHeight w:val="1505"/>
        </w:trPr>
        <w:tc>
          <w:tcPr>
            <w:tcW w:w="8372" w:type="dxa"/>
          </w:tcPr>
          <w:p w:rsidR="00AF6486" w:rsidRPr="00BF30A9" w:rsidRDefault="00AF6486" w:rsidP="00DB4E87">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proofErr w:type="gramStart"/>
            <w:r>
              <w:rPr>
                <w:rFonts w:ascii="標楷體" w:eastAsia="標楷體" w:hAnsi="標楷體" w:hint="eastAsia"/>
                <w:b/>
                <w:sz w:val="28"/>
                <w:szCs w:val="28"/>
              </w:rPr>
              <w:t>三</w:t>
            </w:r>
            <w:proofErr w:type="gramEnd"/>
            <w:r>
              <w:rPr>
                <w:rFonts w:ascii="標楷體" w:eastAsia="標楷體" w:hAnsi="標楷體" w:hint="eastAsia"/>
                <w:b/>
                <w:sz w:val="28"/>
                <w:szCs w:val="28"/>
              </w:rPr>
              <w:t>：</w:t>
            </w:r>
            <w:r w:rsidRPr="00BF30A9">
              <w:rPr>
                <w:rFonts w:ascii="標楷體" w:eastAsia="標楷體" w:hAnsi="標楷體" w:hint="eastAsia"/>
                <w:b/>
                <w:sz w:val="28"/>
                <w:szCs w:val="28"/>
              </w:rPr>
              <w:t>建築貸款</w:t>
            </w:r>
            <w:r w:rsidRPr="00185EF7">
              <w:rPr>
                <w:rFonts w:ascii="標楷體" w:eastAsia="標楷體" w:hAnsi="標楷體" w:hint="eastAsia"/>
                <w:b/>
                <w:sz w:val="28"/>
                <w:szCs w:val="28"/>
              </w:rPr>
              <w:t>申報錯誤</w:t>
            </w:r>
            <w:r w:rsidRPr="00431CC5">
              <w:rPr>
                <w:rFonts w:ascii="標楷體" w:eastAsia="標楷體" w:hAnsi="標楷體" w:hint="eastAsia"/>
                <w:b/>
                <w:sz w:val="28"/>
                <w:szCs w:val="28"/>
              </w:rPr>
              <w:t>：</w:t>
            </w:r>
          </w:p>
          <w:p w:rsidR="00AF6486" w:rsidRPr="00431CC5" w:rsidRDefault="00AF6486"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1.借戶營業項目屬建築相關行業，因建檔錯誤短列。</w:t>
            </w:r>
          </w:p>
          <w:p w:rsidR="00AF6486" w:rsidRPr="00431CC5" w:rsidRDefault="00AF6486" w:rsidP="00905ECE">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2.</w:t>
            </w:r>
            <w:r w:rsidR="00076B17">
              <w:rPr>
                <w:rFonts w:ascii="標楷體" w:eastAsia="標楷體" w:hAnsi="標楷體" w:hint="eastAsia"/>
                <w:b/>
                <w:sz w:val="28"/>
                <w:szCs w:val="28"/>
              </w:rPr>
              <w:t>對</w:t>
            </w:r>
            <w:r w:rsidRPr="00431CC5">
              <w:rPr>
                <w:rFonts w:ascii="標楷體" w:eastAsia="標楷體" w:hAnsi="標楷體" w:hint="eastAsia"/>
                <w:b/>
                <w:sz w:val="28"/>
                <w:szCs w:val="28"/>
              </w:rPr>
              <w:t>從事建築投資之個人購置不動產貸款餘額</w:t>
            </w:r>
            <w:r w:rsidR="00706506">
              <w:rPr>
                <w:rFonts w:ascii="標楷體" w:eastAsia="標楷體" w:hAnsi="標楷體" w:hint="eastAsia"/>
                <w:b/>
                <w:sz w:val="28"/>
                <w:szCs w:val="28"/>
              </w:rPr>
              <w:t>未列入申報</w:t>
            </w:r>
            <w:r w:rsidRPr="00431CC5">
              <w:rPr>
                <w:rFonts w:ascii="標楷體" w:eastAsia="標楷體" w:hAnsi="標楷體" w:hint="eastAsia"/>
                <w:b/>
                <w:sz w:val="28"/>
                <w:szCs w:val="28"/>
              </w:rPr>
              <w:t>。</w:t>
            </w:r>
          </w:p>
          <w:p w:rsidR="00AF6486" w:rsidRPr="00431CC5" w:rsidRDefault="00AF6486" w:rsidP="00076B17">
            <w:pPr>
              <w:spacing w:line="460" w:lineRule="exact"/>
              <w:ind w:left="1410" w:hanging="284"/>
              <w:jc w:val="both"/>
              <w:rPr>
                <w:rFonts w:ascii="標楷體" w:eastAsia="標楷體" w:hAnsi="標楷體"/>
                <w:b/>
                <w:sz w:val="28"/>
                <w:szCs w:val="28"/>
              </w:rPr>
            </w:pPr>
            <w:r w:rsidRPr="00431CC5">
              <w:rPr>
                <w:rFonts w:ascii="標楷體" w:eastAsia="標楷體" w:hAnsi="標楷體" w:hint="eastAsia"/>
                <w:b/>
                <w:sz w:val="28"/>
                <w:szCs w:val="28"/>
              </w:rPr>
              <w:t>3.建築相關行業</w:t>
            </w:r>
            <w:r w:rsidR="00076B17">
              <w:rPr>
                <w:rFonts w:ascii="標楷體" w:eastAsia="標楷體" w:hAnsi="標楷體" w:hint="eastAsia"/>
                <w:b/>
                <w:sz w:val="28"/>
                <w:szCs w:val="28"/>
              </w:rPr>
              <w:t>之借戶</w:t>
            </w:r>
            <w:r w:rsidRPr="00431CC5">
              <w:rPr>
                <w:rFonts w:ascii="標楷體" w:eastAsia="標楷體" w:hAnsi="標楷體" w:hint="eastAsia"/>
                <w:b/>
                <w:sz w:val="28"/>
                <w:szCs w:val="28"/>
              </w:rPr>
              <w:t>所辦理購地、建築融資及營運週轉金貸款</w:t>
            </w:r>
            <w:r w:rsidR="00706506">
              <w:rPr>
                <w:rFonts w:ascii="標楷體" w:eastAsia="標楷體" w:hAnsi="標楷體" w:hint="eastAsia"/>
                <w:b/>
                <w:sz w:val="28"/>
                <w:szCs w:val="28"/>
              </w:rPr>
              <w:t>餘額未列入申報</w:t>
            </w:r>
            <w:r w:rsidRPr="00431CC5">
              <w:rPr>
                <w:rFonts w:ascii="標楷體" w:eastAsia="標楷體" w:hAnsi="標楷體" w:hint="eastAsia"/>
                <w:b/>
                <w:sz w:val="28"/>
                <w:szCs w:val="28"/>
              </w:rPr>
              <w:t>。</w:t>
            </w:r>
          </w:p>
        </w:tc>
      </w:tr>
    </w:tbl>
    <w:p w:rsidR="00AF6486" w:rsidRPr="00431CC5" w:rsidRDefault="00AF6486" w:rsidP="00AF6486">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AF6486" w:rsidRPr="00431CC5" w:rsidRDefault="00AF6486" w:rsidP="00AF6486">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AF6486" w:rsidRPr="00431CC5" w:rsidRDefault="00AF6486" w:rsidP="00AF6486">
      <w:pPr>
        <w:spacing w:line="460" w:lineRule="exact"/>
        <w:ind w:left="1276" w:hanging="992"/>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單一申報窗口AI395授信業務申報資料表</w:t>
      </w:r>
      <w:r w:rsidRPr="00431CC5">
        <w:rPr>
          <w:rFonts w:ascii="標楷體" w:eastAsia="標楷體" w:hAnsi="標楷體" w:cs="Times New Roman"/>
          <w:spacing w:val="-14"/>
          <w:sz w:val="28"/>
          <w:szCs w:val="28"/>
        </w:rPr>
        <w:t>定義說明</w:t>
      </w:r>
      <w:r w:rsidRPr="00431CC5">
        <w:rPr>
          <w:rFonts w:ascii="標楷體" w:eastAsia="標楷體" w:hAnsi="標楷體" w:cs="Times New Roman" w:hint="eastAsia"/>
          <w:spacing w:val="-14"/>
          <w:sz w:val="28"/>
          <w:szCs w:val="28"/>
        </w:rPr>
        <w:t>：</w:t>
      </w:r>
    </w:p>
    <w:p w:rsidR="00AF6486" w:rsidRPr="00431CC5" w:rsidRDefault="00AF6486" w:rsidP="00AF6486">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（1）對建築業貸款，</w:t>
      </w:r>
      <w:r w:rsidRPr="00431CC5">
        <w:rPr>
          <w:rFonts w:ascii="標楷體" w:eastAsia="標楷體" w:hAnsi="標楷體" w:cs="Times New Roman"/>
          <w:spacing w:val="-14"/>
          <w:sz w:val="28"/>
          <w:szCs w:val="28"/>
        </w:rPr>
        <w:t>係指對以房屋興建投資為主要業務之企業承做之購地、興建房屋及週轉金貸款</w:t>
      </w:r>
      <w:r w:rsidRPr="00431CC5">
        <w:rPr>
          <w:rFonts w:ascii="標楷體" w:eastAsia="標楷體" w:hAnsi="標楷體" w:cs="Times New Roman" w:hint="eastAsia"/>
          <w:spacing w:val="-14"/>
          <w:sz w:val="28"/>
          <w:szCs w:val="28"/>
        </w:rPr>
        <w:t>，但房屋興建屬自用部分則不包含之。</w:t>
      </w:r>
    </w:p>
    <w:p w:rsidR="00AF6486" w:rsidRPr="00805408" w:rsidRDefault="00AF6486" w:rsidP="00AF6486">
      <w:pPr>
        <w:spacing w:line="460" w:lineRule="exact"/>
        <w:ind w:left="993" w:hanging="709"/>
        <w:jc w:val="both"/>
        <w:rPr>
          <w:rFonts w:ascii="標楷體" w:eastAsia="標楷體" w:hAnsi="標楷體"/>
          <w:spacing w:val="-10"/>
          <w:sz w:val="28"/>
          <w:szCs w:val="28"/>
        </w:rPr>
      </w:pPr>
      <w:r w:rsidRPr="00431CC5">
        <w:rPr>
          <w:rFonts w:ascii="標楷體" w:eastAsia="標楷體" w:hAnsi="標楷體" w:cs="Times New Roman" w:hint="eastAsia"/>
          <w:spacing w:val="-14"/>
          <w:sz w:val="28"/>
          <w:szCs w:val="28"/>
        </w:rPr>
        <w:t>（2）對其他企業建築貸款，</w:t>
      </w:r>
      <w:r w:rsidRPr="00431CC5">
        <w:rPr>
          <w:rFonts w:ascii="標楷體" w:eastAsia="標楷體" w:hAnsi="標楷體" w:cs="Times New Roman"/>
          <w:spacing w:val="-14"/>
          <w:sz w:val="28"/>
          <w:szCs w:val="28"/>
        </w:rPr>
        <w:t>係指對建築業以外之企業所辦</w:t>
      </w:r>
      <w:r w:rsidRPr="00805408">
        <w:rPr>
          <w:rFonts w:ascii="標楷體" w:eastAsia="標楷體" w:hAnsi="標楷體"/>
          <w:spacing w:val="-10"/>
          <w:sz w:val="28"/>
          <w:szCs w:val="28"/>
        </w:rPr>
        <w:t>理之購地</w:t>
      </w:r>
      <w:r w:rsidRPr="00805408">
        <w:rPr>
          <w:rFonts w:ascii="標楷體" w:eastAsia="標楷體" w:hAnsi="標楷體" w:hint="eastAsia"/>
          <w:spacing w:val="-10"/>
          <w:sz w:val="28"/>
          <w:szCs w:val="28"/>
        </w:rPr>
        <w:t>、</w:t>
      </w:r>
      <w:r w:rsidRPr="00805408">
        <w:rPr>
          <w:rFonts w:ascii="標楷體" w:eastAsia="標楷體" w:hAnsi="標楷體"/>
          <w:spacing w:val="-10"/>
          <w:sz w:val="28"/>
          <w:szCs w:val="28"/>
        </w:rPr>
        <w:t>興建</w:t>
      </w:r>
      <w:r w:rsidRPr="004406D4">
        <w:rPr>
          <w:rFonts w:ascii="標楷體" w:eastAsia="標楷體" w:hAnsi="標楷體"/>
          <w:spacing w:val="-10"/>
          <w:sz w:val="28"/>
          <w:szCs w:val="28"/>
        </w:rPr>
        <w:t>房屋貸款</w:t>
      </w:r>
      <w:r w:rsidRPr="004406D4">
        <w:rPr>
          <w:rFonts w:ascii="標楷體" w:eastAsia="標楷體" w:hAnsi="標楷體" w:hint="eastAsia"/>
          <w:spacing w:val="-10"/>
          <w:sz w:val="28"/>
          <w:szCs w:val="28"/>
        </w:rPr>
        <w:t>及週轉金貸款，但房屋興建屬自用部分則不包含之。</w:t>
      </w:r>
    </w:p>
    <w:p w:rsidR="00AF6486" w:rsidRPr="00431CC5" w:rsidRDefault="00AF6486" w:rsidP="00AF6486">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（3）對個人戶建築貸款，</w:t>
      </w:r>
      <w:r w:rsidRPr="00431CC5">
        <w:rPr>
          <w:rFonts w:ascii="標楷體" w:eastAsia="標楷體" w:hAnsi="標楷體" w:cs="Times New Roman"/>
          <w:spacing w:val="-14"/>
          <w:sz w:val="28"/>
          <w:szCs w:val="28"/>
        </w:rPr>
        <w:t>係指對從事建築投資之個人所辦理之購地</w:t>
      </w:r>
      <w:r w:rsidRPr="00431CC5">
        <w:rPr>
          <w:rFonts w:ascii="標楷體" w:eastAsia="標楷體" w:hAnsi="標楷體" w:cs="Times New Roman" w:hint="eastAsia"/>
          <w:spacing w:val="-14"/>
          <w:sz w:val="28"/>
          <w:szCs w:val="28"/>
        </w:rPr>
        <w:t>、</w:t>
      </w:r>
      <w:r w:rsidRPr="00431CC5">
        <w:rPr>
          <w:rFonts w:ascii="標楷體" w:eastAsia="標楷體" w:hAnsi="標楷體" w:cs="Times New Roman"/>
          <w:spacing w:val="-14"/>
          <w:sz w:val="28"/>
          <w:szCs w:val="28"/>
        </w:rPr>
        <w:t>興建房屋貸款</w:t>
      </w:r>
      <w:r w:rsidRPr="00431CC5">
        <w:rPr>
          <w:rFonts w:ascii="標楷體" w:eastAsia="標楷體" w:hAnsi="標楷體" w:cs="Times New Roman" w:hint="eastAsia"/>
          <w:spacing w:val="-14"/>
          <w:sz w:val="28"/>
          <w:szCs w:val="28"/>
        </w:rPr>
        <w:t>及週轉金貸款，但房屋興建屬自用部分則不包含之</w:t>
      </w:r>
      <w:r w:rsidRPr="00431CC5">
        <w:rPr>
          <w:rFonts w:ascii="標楷體" w:eastAsia="標楷體" w:hAnsi="標楷體" w:cs="Times New Roman"/>
          <w:spacing w:val="-14"/>
          <w:sz w:val="28"/>
          <w:szCs w:val="28"/>
        </w:rPr>
        <w:t>。</w:t>
      </w:r>
    </w:p>
    <w:p w:rsidR="00AF6486" w:rsidRPr="00431CC5" w:rsidRDefault="00AF6486" w:rsidP="00AF6486">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（4）另含其他</w:t>
      </w:r>
      <w:r w:rsidRPr="00431CC5">
        <w:rPr>
          <w:rFonts w:ascii="標楷體" w:eastAsia="標楷體" w:hAnsi="標楷體" w:cs="Times New Roman"/>
          <w:spacing w:val="-14"/>
          <w:sz w:val="28"/>
          <w:szCs w:val="28"/>
        </w:rPr>
        <w:t>建築貸款</w:t>
      </w:r>
      <w:r w:rsidRPr="00431CC5">
        <w:rPr>
          <w:rFonts w:ascii="標楷體" w:eastAsia="標楷體" w:hAnsi="標楷體" w:cs="Times New Roman" w:hint="eastAsia"/>
          <w:spacing w:val="-14"/>
          <w:sz w:val="28"/>
          <w:szCs w:val="28"/>
        </w:rPr>
        <w:t>（房屋興建屬自用部分）餘額。</w:t>
      </w:r>
    </w:p>
    <w:p w:rsidR="00AF6486" w:rsidRPr="00431CC5" w:rsidRDefault="00AF6486" w:rsidP="00AF6486">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2.正確建檔並依規定填報並落實複核機制。</w:t>
      </w:r>
    </w:p>
    <w:p w:rsidR="00AF6486" w:rsidRPr="00431CC5" w:rsidRDefault="00AF6486" w:rsidP="00AF6486">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431CC5" w:rsidRPr="00AF6486" w:rsidRDefault="00431CC5" w:rsidP="00431CC5">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AF6486">
        <w:trPr>
          <w:trHeight w:val="1152"/>
        </w:trPr>
        <w:tc>
          <w:tcPr>
            <w:tcW w:w="8372" w:type="dxa"/>
          </w:tcPr>
          <w:p w:rsidR="00431CC5" w:rsidRPr="00431CC5" w:rsidRDefault="00AF6486" w:rsidP="00431CC5">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r>
              <w:rPr>
                <w:rFonts w:ascii="標楷體" w:eastAsia="標楷體" w:hAnsi="標楷體" w:hint="eastAsia"/>
                <w:b/>
                <w:sz w:val="28"/>
                <w:szCs w:val="28"/>
              </w:rPr>
              <w:t>四：</w:t>
            </w:r>
            <w:r w:rsidR="00431CC5" w:rsidRPr="00431CC5">
              <w:rPr>
                <w:rFonts w:ascii="標楷體" w:eastAsia="標楷體" w:hAnsi="標楷體" w:hint="eastAsia"/>
                <w:b/>
                <w:sz w:val="28"/>
                <w:szCs w:val="28"/>
              </w:rPr>
              <w:t>「住宅</w:t>
            </w:r>
            <w:r w:rsidR="00431CC5" w:rsidRPr="00916238">
              <w:rPr>
                <w:rFonts w:ascii="標楷體" w:eastAsia="標楷體" w:hAnsi="標楷體" w:hint="eastAsia"/>
                <w:b/>
                <w:sz w:val="28"/>
                <w:szCs w:val="28"/>
              </w:rPr>
              <w:t>建築</w:t>
            </w:r>
            <w:r w:rsidR="00431CC5" w:rsidRPr="00431CC5">
              <w:rPr>
                <w:rFonts w:ascii="標楷體" w:eastAsia="標楷體" w:hAnsi="標楷體" w:hint="eastAsia"/>
                <w:b/>
                <w:sz w:val="28"/>
                <w:szCs w:val="28"/>
              </w:rPr>
              <w:t>及企業建築放款總餘額」申報錯誤：</w:t>
            </w:r>
          </w:p>
          <w:p w:rsidR="00431CC5" w:rsidRPr="00431CC5" w:rsidRDefault="00431CC5" w:rsidP="00AF6486">
            <w:pPr>
              <w:spacing w:line="460" w:lineRule="exact"/>
              <w:ind w:leftChars="469" w:left="1127" w:hanging="1"/>
              <w:jc w:val="left"/>
              <w:rPr>
                <w:rFonts w:ascii="標楷體" w:eastAsia="標楷體" w:hAnsi="標楷體"/>
                <w:b/>
                <w:sz w:val="28"/>
                <w:szCs w:val="28"/>
              </w:rPr>
            </w:pPr>
            <w:r w:rsidRPr="00431CC5">
              <w:rPr>
                <w:rFonts w:ascii="標楷體" w:eastAsia="標楷體" w:hAnsi="標楷體" w:hint="eastAsia"/>
                <w:b/>
                <w:sz w:val="28"/>
                <w:szCs w:val="28"/>
              </w:rPr>
              <w:t>借戶資金用途為不動產開發，因建檔錯誤短列。</w:t>
            </w: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BF30A9" w:rsidRPr="00431CC5" w:rsidRDefault="00BF30A9"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1F7FF5" w:rsidRPr="00431CC5" w:rsidRDefault="00BF30A9" w:rsidP="00905ECE">
      <w:pPr>
        <w:spacing w:line="460" w:lineRule="exact"/>
        <w:ind w:left="851"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（1）銀行法第72條之2</w:t>
      </w:r>
      <w:r w:rsidR="00905ECE">
        <w:rPr>
          <w:rFonts w:ascii="標楷體" w:eastAsia="標楷體" w:hAnsi="標楷體" w:cs="Times New Roman" w:hint="eastAsia"/>
          <w:spacing w:val="-14"/>
          <w:sz w:val="28"/>
          <w:szCs w:val="28"/>
        </w:rPr>
        <w:t>。</w:t>
      </w:r>
    </w:p>
    <w:p w:rsidR="00BF30A9" w:rsidRPr="00431CC5" w:rsidRDefault="00BF30A9" w:rsidP="00B272DE">
      <w:pPr>
        <w:spacing w:line="460" w:lineRule="exact"/>
        <w:ind w:left="1276" w:hanging="992"/>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（2）單一申報窗口AI395授信業務申報資料表定義說明</w:t>
      </w:r>
      <w:r w:rsidR="00B77BBC" w:rsidRPr="00431CC5">
        <w:rPr>
          <w:rFonts w:ascii="標楷體" w:eastAsia="標楷體" w:hAnsi="標楷體" w:cs="Times New Roman" w:hint="eastAsia"/>
          <w:spacing w:val="-14"/>
          <w:sz w:val="28"/>
          <w:szCs w:val="28"/>
        </w:rPr>
        <w:t>：</w:t>
      </w:r>
    </w:p>
    <w:p w:rsidR="009366A0" w:rsidRPr="00431CC5" w:rsidRDefault="009366A0" w:rsidP="00B272DE">
      <w:pPr>
        <w:spacing w:line="460" w:lineRule="exact"/>
        <w:ind w:left="1276" w:hanging="425"/>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甲、「住宅建築及企業建築放款」係以借款之資金用途為認定標準。亦即，凡為「興建」或「購置」住宅及企業用建築之</w:t>
      </w:r>
      <w:proofErr w:type="gramStart"/>
      <w:r w:rsidRPr="00431CC5">
        <w:rPr>
          <w:rFonts w:ascii="標楷體" w:eastAsia="標楷體" w:hAnsi="標楷體" w:cs="Times New Roman" w:hint="eastAsia"/>
          <w:spacing w:val="-14"/>
          <w:sz w:val="28"/>
          <w:szCs w:val="28"/>
        </w:rPr>
        <w:t>放款均屬之</w:t>
      </w:r>
      <w:proofErr w:type="gramEnd"/>
      <w:r w:rsidRPr="00431CC5">
        <w:rPr>
          <w:rFonts w:ascii="標楷體" w:eastAsia="標楷體" w:hAnsi="標楷體" w:cs="Times New Roman" w:hint="eastAsia"/>
          <w:spacing w:val="-14"/>
          <w:sz w:val="28"/>
          <w:szCs w:val="28"/>
        </w:rPr>
        <w:t>（金融監督管理委員會100.4.21</w:t>
      </w:r>
      <w:r w:rsidRPr="00431CC5">
        <w:rPr>
          <w:rFonts w:ascii="標楷體" w:eastAsia="標楷體" w:hAnsi="標楷體" w:cs="Times New Roman"/>
          <w:spacing w:val="-14"/>
          <w:sz w:val="28"/>
          <w:szCs w:val="28"/>
        </w:rPr>
        <w:t>金管銀法字第10010001433號函</w:t>
      </w:r>
      <w:r w:rsidRPr="00431CC5">
        <w:rPr>
          <w:rFonts w:ascii="標楷體" w:eastAsia="標楷體" w:hAnsi="標楷體" w:cs="Times New Roman" w:hint="eastAsia"/>
          <w:spacing w:val="-14"/>
          <w:sz w:val="28"/>
          <w:szCs w:val="28"/>
        </w:rPr>
        <w:t>）。</w:t>
      </w:r>
    </w:p>
    <w:p w:rsidR="009366A0" w:rsidRPr="00431CC5" w:rsidRDefault="009366A0" w:rsidP="00B272DE">
      <w:pPr>
        <w:spacing w:line="460" w:lineRule="exact"/>
        <w:ind w:left="1276" w:hanging="425"/>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乙、依金融監督管理委員會101.12.24金</w:t>
      </w:r>
      <w:proofErr w:type="gramStart"/>
      <w:r w:rsidRPr="00431CC5">
        <w:rPr>
          <w:rFonts w:ascii="標楷體" w:eastAsia="標楷體" w:hAnsi="標楷體" w:cs="Times New Roman" w:hint="eastAsia"/>
          <w:spacing w:val="-14"/>
          <w:sz w:val="28"/>
          <w:szCs w:val="28"/>
        </w:rPr>
        <w:t>管銀法字</w:t>
      </w:r>
      <w:proofErr w:type="gramEnd"/>
      <w:r w:rsidRPr="00431CC5">
        <w:rPr>
          <w:rFonts w:ascii="標楷體" w:eastAsia="標楷體" w:hAnsi="標楷體" w:cs="Times New Roman" w:hint="eastAsia"/>
          <w:spacing w:val="-14"/>
          <w:sz w:val="28"/>
          <w:szCs w:val="28"/>
        </w:rPr>
        <w:t>第10110007900號令規定，銀行辦理資金用途為供企業擴增生產能量而購買或興建廠房之貸款，得不計入銀行法第七十二條之二限額計算。（舊案展期之案件，不適用前開函令之規定）</w:t>
      </w:r>
    </w:p>
    <w:p w:rsidR="00BF30A9" w:rsidRPr="00431CC5" w:rsidRDefault="00BF30A9"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2.正確建檔並依規定填報及落實複核機制。</w:t>
      </w:r>
    </w:p>
    <w:p w:rsidR="00BF30A9" w:rsidRPr="00431CC5" w:rsidRDefault="00BF30A9"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0B7245" w:rsidRPr="00431CC5" w:rsidRDefault="000B7245" w:rsidP="00431CC5">
      <w:pPr>
        <w:spacing w:line="460" w:lineRule="exact"/>
        <w:ind w:left="1276" w:hanging="1276"/>
        <w:rPr>
          <w:rFonts w:ascii="標楷體" w:eastAsia="標楷體" w:hAnsi="標楷體" w:cs="Times New Roman"/>
          <w:spacing w:val="-14"/>
          <w:sz w:val="28"/>
          <w:szCs w:val="28"/>
        </w:rPr>
      </w:pPr>
    </w:p>
    <w:sectPr w:rsidR="000B7245" w:rsidRPr="00431CC5" w:rsidSect="000B72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E3" w:rsidRDefault="00E973E3" w:rsidP="00A42FFF">
      <w:r>
        <w:separator/>
      </w:r>
    </w:p>
  </w:endnote>
  <w:endnote w:type="continuationSeparator" w:id="0">
    <w:p w:rsidR="00E973E3" w:rsidRDefault="00E973E3"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A42FFF" w:rsidRDefault="0007227B">
        <w:pPr>
          <w:pStyle w:val="a6"/>
          <w:jc w:val="center"/>
        </w:pPr>
        <w:fldSimple w:instr=" PAGE   \* MERGEFORMAT ">
          <w:r w:rsidR="002F3E6B" w:rsidRPr="002F3E6B">
            <w:rPr>
              <w:noProof/>
              <w:lang w:val="zh-TW"/>
            </w:rPr>
            <w:t>1</w:t>
          </w:r>
        </w:fldSimple>
      </w:p>
    </w:sdtContent>
  </w:sdt>
  <w:p w:rsidR="00A42FFF" w:rsidRDefault="00A42F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E3" w:rsidRDefault="00E973E3" w:rsidP="00A42FFF">
      <w:r>
        <w:separator/>
      </w:r>
    </w:p>
  </w:footnote>
  <w:footnote w:type="continuationSeparator" w:id="0">
    <w:p w:rsidR="00E973E3" w:rsidRDefault="00E973E3"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22A6F"/>
    <w:rsid w:val="0003582C"/>
    <w:rsid w:val="00056A0F"/>
    <w:rsid w:val="00062F65"/>
    <w:rsid w:val="0007227B"/>
    <w:rsid w:val="00076B17"/>
    <w:rsid w:val="000B7245"/>
    <w:rsid w:val="000C2306"/>
    <w:rsid w:val="000E2D78"/>
    <w:rsid w:val="000E4016"/>
    <w:rsid w:val="00104718"/>
    <w:rsid w:val="0011694C"/>
    <w:rsid w:val="00127E8D"/>
    <w:rsid w:val="001468A3"/>
    <w:rsid w:val="00151F80"/>
    <w:rsid w:val="00185EF7"/>
    <w:rsid w:val="00196166"/>
    <w:rsid w:val="001C4048"/>
    <w:rsid w:val="001D5B43"/>
    <w:rsid w:val="001F7FF5"/>
    <w:rsid w:val="002049F0"/>
    <w:rsid w:val="00237C96"/>
    <w:rsid w:val="00274E06"/>
    <w:rsid w:val="002D3814"/>
    <w:rsid w:val="002F3E6B"/>
    <w:rsid w:val="00340336"/>
    <w:rsid w:val="003E7391"/>
    <w:rsid w:val="003F4A29"/>
    <w:rsid w:val="00431CC5"/>
    <w:rsid w:val="0044639D"/>
    <w:rsid w:val="0046084B"/>
    <w:rsid w:val="00472D3D"/>
    <w:rsid w:val="004744E9"/>
    <w:rsid w:val="00476D42"/>
    <w:rsid w:val="004E67EB"/>
    <w:rsid w:val="00516F31"/>
    <w:rsid w:val="005801D4"/>
    <w:rsid w:val="005A4389"/>
    <w:rsid w:val="005C2ED4"/>
    <w:rsid w:val="005F1BFC"/>
    <w:rsid w:val="006013FE"/>
    <w:rsid w:val="006110B4"/>
    <w:rsid w:val="006B20B9"/>
    <w:rsid w:val="00706506"/>
    <w:rsid w:val="00711738"/>
    <w:rsid w:val="00717B28"/>
    <w:rsid w:val="00726FA3"/>
    <w:rsid w:val="0074510C"/>
    <w:rsid w:val="007735AB"/>
    <w:rsid w:val="00777655"/>
    <w:rsid w:val="007A7C74"/>
    <w:rsid w:val="007B32C9"/>
    <w:rsid w:val="008361CF"/>
    <w:rsid w:val="008725A6"/>
    <w:rsid w:val="008741CB"/>
    <w:rsid w:val="008B148B"/>
    <w:rsid w:val="00905ECE"/>
    <w:rsid w:val="00916238"/>
    <w:rsid w:val="009275C2"/>
    <w:rsid w:val="009366A0"/>
    <w:rsid w:val="00956F2E"/>
    <w:rsid w:val="009A2949"/>
    <w:rsid w:val="009C5010"/>
    <w:rsid w:val="00A4082E"/>
    <w:rsid w:val="00A42FFF"/>
    <w:rsid w:val="00A57694"/>
    <w:rsid w:val="00A655EC"/>
    <w:rsid w:val="00A744E5"/>
    <w:rsid w:val="00AC5C74"/>
    <w:rsid w:val="00AC653B"/>
    <w:rsid w:val="00AF6486"/>
    <w:rsid w:val="00B24D0A"/>
    <w:rsid w:val="00B272DE"/>
    <w:rsid w:val="00B53465"/>
    <w:rsid w:val="00B756F4"/>
    <w:rsid w:val="00B77BBC"/>
    <w:rsid w:val="00B8175D"/>
    <w:rsid w:val="00B82C6C"/>
    <w:rsid w:val="00B91699"/>
    <w:rsid w:val="00BE7BE6"/>
    <w:rsid w:val="00BF30A9"/>
    <w:rsid w:val="00C13B18"/>
    <w:rsid w:val="00CD7949"/>
    <w:rsid w:val="00CE0EE8"/>
    <w:rsid w:val="00DD58B9"/>
    <w:rsid w:val="00E46306"/>
    <w:rsid w:val="00E52735"/>
    <w:rsid w:val="00E620AC"/>
    <w:rsid w:val="00E666D0"/>
    <w:rsid w:val="00E973E3"/>
    <w:rsid w:val="00EA261D"/>
    <w:rsid w:val="00EE4A65"/>
    <w:rsid w:val="00F02F5E"/>
    <w:rsid w:val="00F16DEF"/>
    <w:rsid w:val="00F22449"/>
    <w:rsid w:val="00FB4D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semiHidden/>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semiHidden/>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2081</Characters>
  <Application>Microsoft Office Word</Application>
  <DocSecurity>0</DocSecurity>
  <Lines>17</Lines>
  <Paragraphs>4</Paragraphs>
  <ScaleCrop>false</ScaleCrop>
  <Company>CDIC</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劉瑞萍</cp:lastModifiedBy>
  <cp:revision>2</cp:revision>
  <cp:lastPrinted>2015-02-11T03:07:00Z</cp:lastPrinted>
  <dcterms:created xsi:type="dcterms:W3CDTF">2015-02-11T08:06:00Z</dcterms:created>
  <dcterms:modified xsi:type="dcterms:W3CDTF">2015-02-11T08:06:00Z</dcterms:modified>
</cp:coreProperties>
</file>